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CBCA796">
      <w:pPr>
        <w:spacing w:line="660" w:lineRule="exact"/>
        <w:jc w:val="center"/>
        <w:rPr>
          <w:rFonts w:hint="default" w:ascii="Times New Roman" w:hAnsi="Times New Roman" w:cs="Times New Roman"/>
          <w:b w:val="0"/>
          <w:bCs w:val="0"/>
          <w:spacing w:val="10"/>
          <w:sz w:val="44"/>
          <w:szCs w:val="44"/>
        </w:rPr>
      </w:pPr>
    </w:p>
    <w:p w14:paraId="59D883E1">
      <w:pPr>
        <w:spacing w:line="660" w:lineRule="exact"/>
        <w:jc w:val="center"/>
        <w:rPr>
          <w:rFonts w:hint="default" w:ascii="Times New Roman" w:hAnsi="Times New Roman" w:cs="Times New Roman"/>
          <w:b/>
          <w:spacing w:val="10"/>
          <w:sz w:val="44"/>
          <w:szCs w:val="44"/>
        </w:rPr>
      </w:pPr>
    </w:p>
    <w:p w14:paraId="32070CBD">
      <w:pPr>
        <w:wordWrap w:val="0"/>
        <w:spacing w:line="640" w:lineRule="exact"/>
        <w:ind w:firstLine="1325" w:firstLineChars="200"/>
        <w:jc w:val="right"/>
        <w:rPr>
          <w:rFonts w:hint="default" w:ascii="Times New Roman" w:hAnsi="Times New Roman" w:eastAsia="楷体_GB2312" w:cs="Times New Roman"/>
          <w:b/>
          <w:spacing w:val="10"/>
          <w:sz w:val="64"/>
          <w:szCs w:val="64"/>
        </w:rPr>
      </w:pPr>
    </w:p>
    <w:p w14:paraId="56B3EE3E">
      <w:pPr>
        <w:spacing w:line="640" w:lineRule="exact"/>
        <w:ind w:firstLine="1325" w:firstLineChars="200"/>
        <w:jc w:val="right"/>
        <w:rPr>
          <w:rFonts w:hint="default" w:ascii="Times New Roman" w:hAnsi="Times New Roman" w:eastAsia="楷体_GB2312" w:cs="Times New Roman"/>
          <w:b/>
          <w:spacing w:val="10"/>
          <w:sz w:val="64"/>
          <w:szCs w:val="64"/>
        </w:rPr>
      </w:pPr>
    </w:p>
    <w:p w14:paraId="014F2606">
      <w:pPr>
        <w:spacing w:line="640" w:lineRule="exact"/>
        <w:ind w:firstLine="1325" w:firstLineChars="200"/>
        <w:jc w:val="right"/>
        <w:rPr>
          <w:rFonts w:hint="default" w:ascii="Times New Roman" w:hAnsi="Times New Roman" w:eastAsia="楷体_GB2312" w:cs="Times New Roman"/>
          <w:b/>
          <w:spacing w:val="10"/>
          <w:sz w:val="64"/>
          <w:szCs w:val="64"/>
        </w:rPr>
      </w:pPr>
    </w:p>
    <w:p w14:paraId="60553C6B">
      <w:pPr>
        <w:pStyle w:val="15"/>
        <w:keepNext w:val="0"/>
        <w:keepLines w:val="0"/>
        <w:pageBreakBefore w:val="0"/>
        <w:widowControl w:val="0"/>
        <w:kinsoku/>
        <w:wordWrap/>
        <w:overflowPunct/>
        <w:topLinePunct w:val="0"/>
        <w:autoSpaceDE/>
        <w:autoSpaceDN/>
        <w:bidi w:val="0"/>
        <w:adjustRightInd/>
        <w:snapToGrid/>
        <w:spacing w:before="157" w:beforeLines="50"/>
        <w:textAlignment w:val="auto"/>
        <w:rPr>
          <w:rFonts w:hint="default"/>
        </w:rPr>
      </w:pPr>
    </w:p>
    <w:p w14:paraId="16C8882B">
      <w:pPr>
        <w:spacing w:line="62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伊</w:t>
      </w:r>
      <w:r>
        <w:rPr>
          <w:rFonts w:hint="eastAsia" w:ascii="仿宋_GB2312" w:hAnsi="仿宋_GB2312" w:eastAsia="仿宋_GB2312" w:cs="仿宋_GB2312"/>
          <w:sz w:val="32"/>
          <w:szCs w:val="32"/>
        </w:rPr>
        <w:t>财预﹝202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30</w:t>
      </w:r>
      <w:r>
        <w:rPr>
          <w:rFonts w:hint="eastAsia" w:ascii="仿宋_GB2312" w:hAnsi="仿宋_GB2312" w:eastAsia="仿宋_GB2312" w:cs="仿宋_GB2312"/>
          <w:sz w:val="32"/>
          <w:szCs w:val="32"/>
        </w:rPr>
        <w:t>号</w:t>
      </w:r>
    </w:p>
    <w:p w14:paraId="41C58A0A">
      <w:pPr>
        <w:widowControl w:val="0"/>
        <w:wordWrap/>
        <w:adjustRightInd/>
        <w:snapToGrid/>
        <w:spacing w:line="760" w:lineRule="exact"/>
        <w:jc w:val="both"/>
        <w:textAlignment w:val="auto"/>
        <w:rPr>
          <w:rFonts w:hint="default" w:ascii="Times New Roman" w:hAnsi="Times New Roman" w:eastAsia="仿宋_GB2312" w:cs="Times New Roman"/>
          <w:spacing w:val="10"/>
          <w:sz w:val="34"/>
          <w:szCs w:val="34"/>
        </w:rPr>
      </w:pPr>
    </w:p>
    <w:p w14:paraId="7734E0A7">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大标宋简体" w:hAnsi="宋体" w:eastAsia="方正大标宋简体"/>
          <w:sz w:val="44"/>
          <w:szCs w:val="44"/>
          <w:lang w:val="en-US" w:eastAsia="zh-CN"/>
        </w:rPr>
      </w:pPr>
      <w:r>
        <w:rPr>
          <w:rFonts w:hint="eastAsia" w:ascii="方正大标宋简体" w:hAnsi="宋体" w:eastAsia="方正大标宋简体"/>
          <w:sz w:val="44"/>
          <w:szCs w:val="44"/>
          <w:lang w:val="en-US" w:eastAsia="zh-CN"/>
        </w:rPr>
        <w:t>伊川县财政局</w:t>
      </w:r>
    </w:p>
    <w:p w14:paraId="1A3C4511">
      <w:pPr>
        <w:spacing w:line="700" w:lineRule="exact"/>
        <w:jc w:val="center"/>
        <w:rPr>
          <w:rFonts w:hint="eastAsia" w:ascii="方正大标宋简体" w:hAnsi="宋体" w:eastAsia="方正大标宋简体"/>
          <w:sz w:val="44"/>
          <w:szCs w:val="44"/>
          <w:lang w:val="en-US" w:eastAsia="zh-CN"/>
        </w:rPr>
      </w:pPr>
      <w:r>
        <w:rPr>
          <w:rFonts w:hint="eastAsia" w:ascii="方正大标宋简体" w:hAnsi="宋体" w:eastAsia="方正大标宋简体"/>
          <w:spacing w:val="-6"/>
          <w:sz w:val="44"/>
          <w:szCs w:val="44"/>
          <w:lang w:val="en-US" w:eastAsia="zh-CN"/>
        </w:rPr>
        <w:t>关于下达</w:t>
      </w:r>
      <w:r>
        <w:rPr>
          <w:rFonts w:hint="eastAsia" w:ascii="方正大标宋简体" w:hAnsi="宋体" w:eastAsia="方正大标宋简体"/>
          <w:sz w:val="44"/>
          <w:szCs w:val="44"/>
          <w:lang w:val="en-US" w:eastAsia="zh-CN"/>
        </w:rPr>
        <w:t>2024年第十二批衔接推进乡村振兴</w:t>
      </w:r>
    </w:p>
    <w:p w14:paraId="32B88328">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大标宋简体" w:hAnsi="宋体" w:eastAsia="方正大标宋简体"/>
          <w:sz w:val="44"/>
          <w:szCs w:val="44"/>
          <w:lang w:val="en-US" w:eastAsia="zh-CN"/>
        </w:rPr>
      </w:pPr>
      <w:r>
        <w:rPr>
          <w:rFonts w:hint="eastAsia" w:ascii="方正大标宋简体" w:hAnsi="宋体" w:eastAsia="方正大标宋简体"/>
          <w:sz w:val="44"/>
          <w:szCs w:val="44"/>
          <w:lang w:val="en-US" w:eastAsia="zh-CN"/>
        </w:rPr>
        <w:t>资金的通知</w:t>
      </w:r>
    </w:p>
    <w:p w14:paraId="361A5BDF">
      <w:pPr>
        <w:spacing w:line="580" w:lineRule="exact"/>
        <w:jc w:val="left"/>
        <w:rPr>
          <w:rFonts w:hint="eastAsia" w:ascii="仿宋_GB2312" w:hAnsi="仿宋_GB2312" w:eastAsia="仿宋_GB2312" w:cs="仿宋_GB2312"/>
          <w:b/>
          <w:bCs/>
          <w:sz w:val="32"/>
          <w:szCs w:val="32"/>
          <w:lang w:eastAsia="zh-CN"/>
        </w:rPr>
      </w:pPr>
    </w:p>
    <w:p w14:paraId="3C0D8DBE">
      <w:pPr>
        <w:widowControl w:val="0"/>
        <w:wordWrap/>
        <w:adjustRightInd/>
        <w:snapToGrid/>
        <w:spacing w:line="600" w:lineRule="exact"/>
        <w:ind w:left="0" w:leftChars="0" w:right="0"/>
        <w:textAlignment w:val="auto"/>
        <w:outlineLvl w:val="9"/>
        <w:rPr>
          <w:rFonts w:ascii="仿宋_GB2312" w:hAnsi="仿宋_GB2312" w:eastAsia="仿宋_GB2312" w:cs="仿宋_GB2312"/>
          <w:b/>
          <w:bCs/>
          <w:sz w:val="32"/>
          <w:szCs w:val="32"/>
        </w:rPr>
      </w:pPr>
      <w:r>
        <w:rPr>
          <w:rFonts w:hint="eastAsia" w:ascii="Times New Roman" w:hAnsi="仿宋_GB2312" w:eastAsia="仿宋_GB2312"/>
          <w:b/>
          <w:bCs/>
          <w:sz w:val="32"/>
          <w:szCs w:val="32"/>
          <w:lang w:val="en-US" w:eastAsia="zh-CN"/>
        </w:rPr>
        <w:t>县</w:t>
      </w:r>
      <w:r>
        <w:rPr>
          <w:rFonts w:hint="eastAsia" w:ascii="仿宋_GB2312" w:hAnsi="仿宋_GB2312" w:eastAsia="仿宋_GB2312" w:cs="仿宋_GB2312"/>
          <w:b/>
          <w:bCs/>
          <w:sz w:val="32"/>
          <w:szCs w:val="32"/>
          <w:lang w:eastAsia="zh-CN"/>
        </w:rPr>
        <w:t>农业农村局、吕店镇、鸦岭镇人民政府</w:t>
      </w:r>
      <w:r>
        <w:rPr>
          <w:rFonts w:ascii="仿宋_GB2312" w:hAnsi="仿宋_GB2312" w:eastAsia="仿宋_GB2312" w:cs="仿宋_GB2312"/>
          <w:b/>
          <w:bCs/>
          <w:sz w:val="32"/>
          <w:szCs w:val="32"/>
        </w:rPr>
        <w:t>：</w:t>
      </w:r>
    </w:p>
    <w:p w14:paraId="395D34B5">
      <w:pPr>
        <w:widowControl w:val="0"/>
        <w:wordWrap/>
        <w:adjustRightInd/>
        <w:snapToGrid/>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根据</w:t>
      </w:r>
      <w:r>
        <w:rPr>
          <w:rFonts w:hint="eastAsia" w:ascii="仿宋" w:hAnsi="仿宋" w:eastAsia="仿宋" w:cs="仿宋"/>
          <w:sz w:val="32"/>
          <w:szCs w:val="32"/>
          <w:lang w:eastAsia="zh-CN"/>
        </w:rPr>
        <w:t>《伊川县巩固拓展脱贫攻坚成果领导小组关于下达</w:t>
      </w:r>
      <w:r>
        <w:rPr>
          <w:rFonts w:hint="eastAsia" w:ascii="仿宋" w:hAnsi="仿宋" w:eastAsia="仿宋" w:cs="仿宋"/>
          <w:sz w:val="32"/>
          <w:szCs w:val="32"/>
          <w:lang w:val="en-US" w:eastAsia="zh-CN"/>
        </w:rPr>
        <w:t>2024年伊川县鸦岭镇康庄村农产品交易中心等项目资金分配意见</w:t>
      </w:r>
      <w:r>
        <w:rPr>
          <w:rFonts w:hint="eastAsia" w:ascii="仿宋" w:hAnsi="仿宋" w:eastAsia="仿宋" w:cs="仿宋"/>
          <w:sz w:val="32"/>
          <w:szCs w:val="32"/>
          <w:lang w:eastAsia="zh-CN"/>
        </w:rPr>
        <w:t>的通知》（</w:t>
      </w:r>
      <w:r>
        <w:rPr>
          <w:rFonts w:hint="eastAsia" w:ascii="仿宋" w:hAnsi="仿宋" w:eastAsia="仿宋" w:cs="仿宋"/>
          <w:sz w:val="32"/>
          <w:szCs w:val="32"/>
        </w:rPr>
        <w:t>伊</w:t>
      </w:r>
      <w:r>
        <w:rPr>
          <w:rFonts w:hint="eastAsia" w:ascii="仿宋" w:hAnsi="仿宋" w:eastAsia="仿宋" w:cs="仿宋"/>
          <w:sz w:val="32"/>
          <w:szCs w:val="32"/>
          <w:lang w:eastAsia="zh-CN"/>
        </w:rPr>
        <w:t>巩固</w:t>
      </w:r>
      <w:r>
        <w:rPr>
          <w:rFonts w:hint="eastAsia" w:ascii="仿宋" w:hAnsi="仿宋" w:eastAsia="仿宋" w:cs="仿宋"/>
          <w:sz w:val="32"/>
          <w:szCs w:val="32"/>
        </w:rPr>
        <w:t>脱贫组</w:t>
      </w:r>
      <w:r>
        <w:rPr>
          <w:rFonts w:hint="eastAsia" w:ascii="仿宋" w:hAnsi="仿宋" w:eastAsia="仿宋" w:cs="仿宋"/>
          <w:b w:val="0"/>
          <w:bCs w:val="0"/>
          <w:sz w:val="32"/>
          <w:szCs w:val="32"/>
        </w:rPr>
        <w:t>[202</w:t>
      </w:r>
      <w:r>
        <w:rPr>
          <w:rFonts w:hint="eastAsia" w:ascii="仿宋" w:hAnsi="仿宋" w:eastAsia="仿宋" w:cs="仿宋"/>
          <w:b w:val="0"/>
          <w:bCs w:val="0"/>
          <w:sz w:val="32"/>
          <w:szCs w:val="32"/>
          <w:lang w:val="en-US" w:eastAsia="zh-CN"/>
        </w:rPr>
        <w:t>4</w:t>
      </w:r>
      <w:r>
        <w:rPr>
          <w:rFonts w:hint="eastAsia" w:ascii="仿宋" w:hAnsi="仿宋" w:eastAsia="仿宋" w:cs="仿宋"/>
          <w:b w:val="0"/>
          <w:bCs w:val="0"/>
          <w:sz w:val="32"/>
          <w:szCs w:val="32"/>
        </w:rPr>
        <w:t>]</w:t>
      </w:r>
      <w:r>
        <w:rPr>
          <w:rFonts w:hint="eastAsia" w:ascii="仿宋" w:hAnsi="仿宋" w:eastAsia="仿宋" w:cs="仿宋"/>
          <w:sz w:val="32"/>
          <w:szCs w:val="32"/>
          <w:lang w:val="en-US" w:eastAsia="zh-CN"/>
        </w:rPr>
        <w:t>41</w:t>
      </w:r>
      <w:r>
        <w:rPr>
          <w:rFonts w:hint="eastAsia" w:ascii="仿宋" w:hAnsi="仿宋" w:eastAsia="仿宋" w:cs="仿宋"/>
          <w:sz w:val="32"/>
          <w:szCs w:val="32"/>
        </w:rPr>
        <w:t>号</w:t>
      </w:r>
      <w:r>
        <w:rPr>
          <w:rFonts w:hint="eastAsia" w:ascii="仿宋" w:hAnsi="仿宋" w:eastAsia="仿宋" w:cs="仿宋"/>
          <w:sz w:val="32"/>
          <w:szCs w:val="32"/>
          <w:lang w:eastAsia="zh-CN"/>
        </w:rPr>
        <w:t>）、《伊川县巩固拓展脱贫攻坚成果领导小组关于</w:t>
      </w:r>
      <w:r>
        <w:rPr>
          <w:rFonts w:hint="eastAsia" w:ascii="仿宋" w:hAnsi="仿宋" w:eastAsia="仿宋" w:cs="仿宋"/>
          <w:sz w:val="32"/>
          <w:szCs w:val="32"/>
          <w:lang w:val="en-US" w:eastAsia="zh-CN"/>
        </w:rPr>
        <w:t>2024年伊川县秸秆收贮补贴项目</w:t>
      </w:r>
      <w:r>
        <w:rPr>
          <w:rFonts w:hint="eastAsia" w:ascii="仿宋" w:hAnsi="仿宋" w:eastAsia="仿宋" w:cs="仿宋"/>
          <w:sz w:val="32"/>
          <w:szCs w:val="32"/>
          <w:lang w:eastAsia="zh-CN"/>
        </w:rPr>
        <w:t>立项</w:t>
      </w:r>
      <w:r>
        <w:rPr>
          <w:rFonts w:hint="eastAsia" w:ascii="仿宋" w:hAnsi="仿宋" w:eastAsia="仿宋" w:cs="仿宋"/>
          <w:sz w:val="32"/>
          <w:szCs w:val="32"/>
          <w:lang w:val="en-US" w:eastAsia="zh-CN"/>
        </w:rPr>
        <w:t>暨资金分配意见的</w:t>
      </w:r>
      <w:r>
        <w:rPr>
          <w:rFonts w:hint="eastAsia" w:ascii="仿宋" w:hAnsi="仿宋" w:eastAsia="仿宋" w:cs="仿宋"/>
          <w:sz w:val="32"/>
          <w:szCs w:val="32"/>
          <w:lang w:eastAsia="zh-CN"/>
        </w:rPr>
        <w:t>通知》（</w:t>
      </w:r>
      <w:r>
        <w:rPr>
          <w:rFonts w:hint="eastAsia" w:ascii="仿宋" w:hAnsi="仿宋" w:eastAsia="仿宋" w:cs="仿宋"/>
          <w:sz w:val="32"/>
          <w:szCs w:val="32"/>
        </w:rPr>
        <w:t>伊</w:t>
      </w:r>
      <w:r>
        <w:rPr>
          <w:rFonts w:hint="eastAsia" w:ascii="仿宋" w:hAnsi="仿宋" w:eastAsia="仿宋" w:cs="仿宋"/>
          <w:sz w:val="32"/>
          <w:szCs w:val="32"/>
          <w:lang w:eastAsia="zh-CN"/>
        </w:rPr>
        <w:t>巩固</w:t>
      </w:r>
      <w:r>
        <w:rPr>
          <w:rFonts w:hint="eastAsia" w:ascii="仿宋" w:hAnsi="仿宋" w:eastAsia="仿宋" w:cs="仿宋"/>
          <w:sz w:val="32"/>
          <w:szCs w:val="32"/>
        </w:rPr>
        <w:t>脱贫组[202</w:t>
      </w:r>
      <w:r>
        <w:rPr>
          <w:rFonts w:hint="eastAsia" w:ascii="仿宋" w:hAnsi="仿宋" w:eastAsia="仿宋" w:cs="仿宋"/>
          <w:sz w:val="32"/>
          <w:szCs w:val="32"/>
          <w:lang w:val="en-US" w:eastAsia="zh-CN"/>
        </w:rPr>
        <w:t>4</w:t>
      </w:r>
      <w:r>
        <w:rPr>
          <w:rFonts w:hint="eastAsia" w:ascii="仿宋" w:hAnsi="仿宋" w:eastAsia="仿宋" w:cs="仿宋"/>
          <w:sz w:val="32"/>
          <w:szCs w:val="32"/>
        </w:rPr>
        <w:t>]</w:t>
      </w:r>
      <w:r>
        <w:rPr>
          <w:rFonts w:hint="eastAsia" w:ascii="仿宋" w:hAnsi="仿宋" w:eastAsia="仿宋" w:cs="仿宋"/>
          <w:sz w:val="32"/>
          <w:szCs w:val="32"/>
          <w:lang w:val="en-US" w:eastAsia="zh-CN"/>
        </w:rPr>
        <w:t>42</w:t>
      </w:r>
      <w:r>
        <w:rPr>
          <w:rFonts w:hint="eastAsia" w:ascii="仿宋" w:hAnsi="仿宋" w:eastAsia="仿宋" w:cs="仿宋"/>
          <w:sz w:val="32"/>
          <w:szCs w:val="32"/>
        </w:rPr>
        <w:t>号</w:t>
      </w:r>
      <w:r>
        <w:rPr>
          <w:rFonts w:hint="eastAsia" w:ascii="仿宋" w:hAnsi="仿宋" w:eastAsia="仿宋" w:cs="仿宋"/>
          <w:sz w:val="32"/>
          <w:szCs w:val="32"/>
          <w:lang w:eastAsia="zh-CN"/>
        </w:rPr>
        <w:t>）文件要求，</w:t>
      </w:r>
      <w:r>
        <w:rPr>
          <w:rFonts w:hint="eastAsia" w:ascii="仿宋" w:hAnsi="仿宋" w:eastAsia="仿宋" w:cs="仿宋"/>
          <w:sz w:val="32"/>
          <w:szCs w:val="32"/>
        </w:rPr>
        <w:t>现</w:t>
      </w:r>
      <w:r>
        <w:rPr>
          <w:rFonts w:hint="eastAsia" w:ascii="仿宋" w:hAnsi="仿宋" w:eastAsia="仿宋" w:cs="仿宋"/>
          <w:sz w:val="32"/>
          <w:szCs w:val="32"/>
          <w:lang w:eastAsia="zh-CN"/>
        </w:rPr>
        <w:t>将</w:t>
      </w:r>
      <w:r>
        <w:rPr>
          <w:rFonts w:hint="eastAsia" w:ascii="仿宋_GB2312" w:hAnsi="仿宋_GB2312" w:eastAsia="仿宋_GB2312" w:cs="仿宋_GB2312"/>
          <w:sz w:val="32"/>
          <w:szCs w:val="32"/>
          <w:lang w:val="en-US" w:eastAsia="zh-CN"/>
        </w:rPr>
        <w:t>2024年伊川县鸦岭镇康庄村农产品交易中心等项目资金5986242.35元</w:t>
      </w:r>
      <w:r>
        <w:rPr>
          <w:rFonts w:hint="eastAsia" w:ascii="仿宋" w:hAnsi="仿宋" w:eastAsia="仿宋" w:cs="仿宋"/>
          <w:sz w:val="32"/>
          <w:szCs w:val="32"/>
          <w:lang w:val="en-US" w:eastAsia="zh-CN"/>
        </w:rPr>
        <w:t>予以下达</w:t>
      </w:r>
      <w:r>
        <w:rPr>
          <w:rFonts w:hint="eastAsia" w:ascii="仿宋" w:hAnsi="仿宋" w:eastAsia="仿宋" w:cs="仿宋"/>
          <w:color w:val="000000"/>
          <w:sz w:val="32"/>
          <w:szCs w:val="32"/>
          <w:lang w:val="en-US" w:eastAsia="zh-CN"/>
        </w:rPr>
        <w:t>，</w:t>
      </w:r>
      <w:r>
        <w:rPr>
          <w:rFonts w:hint="eastAsia" w:ascii="仿宋" w:hAnsi="仿宋" w:eastAsia="仿宋" w:cs="仿宋"/>
          <w:sz w:val="32"/>
          <w:szCs w:val="32"/>
        </w:rPr>
        <w:t>具体如下：</w:t>
      </w:r>
    </w:p>
    <w:p w14:paraId="598F19E3">
      <w:pPr>
        <w:widowControl w:val="0"/>
        <w:numPr>
          <w:ilvl w:val="0"/>
          <w:numId w:val="0"/>
        </w:numPr>
        <w:wordWrap/>
        <w:adjustRightInd/>
        <w:snapToGrid/>
        <w:spacing w:line="600" w:lineRule="exact"/>
        <w:ind w:firstLine="640" w:firstLineChars="200"/>
        <w:textAlignment w:val="auto"/>
        <w:rPr>
          <w:rFonts w:hint="eastAsia" w:ascii="仿宋" w:hAnsi="仿宋" w:eastAsia="仿宋" w:cs="仿宋"/>
          <w:lang w:val="en-US" w:eastAsia="zh-CN"/>
        </w:rPr>
      </w:pPr>
      <w:r>
        <w:rPr>
          <w:rFonts w:hint="eastAsia" w:ascii="仿宋" w:hAnsi="仿宋" w:eastAsia="仿宋" w:cs="仿宋"/>
          <w:bCs/>
          <w:color w:val="auto"/>
          <w:sz w:val="32"/>
          <w:szCs w:val="32"/>
          <w:lang w:eastAsia="zh-CN"/>
        </w:rPr>
        <w:t>一、下达</w:t>
      </w:r>
      <w:r>
        <w:rPr>
          <w:rFonts w:hint="eastAsia" w:ascii="仿宋_GB2312" w:hAnsi="仿宋_GB2312" w:eastAsia="仿宋_GB2312" w:cs="仿宋_GB2312"/>
          <w:sz w:val="32"/>
          <w:szCs w:val="32"/>
          <w:lang w:val="en-US" w:eastAsia="zh-CN"/>
        </w:rPr>
        <w:t>2024年伊川县鸦岭镇康庄村农产品交易中心等项目资金5986242.35元</w:t>
      </w:r>
      <w:r>
        <w:rPr>
          <w:rFonts w:hint="eastAsia" w:ascii="仿宋" w:hAnsi="仿宋" w:eastAsia="仿宋" w:cs="仿宋"/>
          <w:spacing w:val="-6"/>
          <w:sz w:val="32"/>
          <w:szCs w:val="32"/>
          <w:lang w:val="en-US" w:eastAsia="zh-CN"/>
        </w:rPr>
        <w:t>（详见附件1）</w:t>
      </w:r>
      <w:r>
        <w:rPr>
          <w:rFonts w:hint="eastAsia" w:ascii="仿宋" w:hAnsi="仿宋" w:eastAsia="仿宋" w:cs="仿宋"/>
          <w:sz w:val="32"/>
          <w:szCs w:val="32"/>
          <w:lang w:val="en-US" w:eastAsia="zh-CN"/>
        </w:rPr>
        <w:t>。</w:t>
      </w:r>
    </w:p>
    <w:p w14:paraId="17D7B62A">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Cs/>
          <w:sz w:val="32"/>
          <w:szCs w:val="32"/>
          <w:lang w:val="en-US" w:eastAsia="zh-CN"/>
        </w:rPr>
      </w:pPr>
      <w:r>
        <w:rPr>
          <w:rFonts w:hint="eastAsia" w:ascii="仿宋" w:hAnsi="仿宋" w:eastAsia="仿宋" w:cs="仿宋"/>
          <w:sz w:val="32"/>
          <w:szCs w:val="32"/>
          <w:lang w:eastAsia="zh-CN"/>
        </w:rPr>
        <w:t>二、</w:t>
      </w:r>
      <w:r>
        <w:rPr>
          <w:rFonts w:hint="eastAsia" w:ascii="仿宋" w:hAnsi="仿宋" w:eastAsia="仿宋" w:cs="仿宋"/>
          <w:bCs/>
          <w:sz w:val="32"/>
          <w:szCs w:val="32"/>
          <w:lang w:val="en-US" w:eastAsia="zh-CN"/>
        </w:rPr>
        <w:t>根据《伊川县财政衔接乡村振兴补助资金管理办法》（伊财[2021]83号）规定，本次下达的资金列入2024年政府收支科目“21305”科目。县农业农村局、吕店镇、鸦岭镇人民政府人民政府</w:t>
      </w:r>
      <w:r>
        <w:rPr>
          <w:rFonts w:hint="eastAsia" w:ascii="仿宋" w:hAnsi="仿宋" w:eastAsia="仿宋" w:cs="仿宋"/>
          <w:sz w:val="32"/>
          <w:szCs w:val="32"/>
          <w:lang w:eastAsia="zh-CN"/>
        </w:rPr>
        <w:t>要</w:t>
      </w:r>
      <w:r>
        <w:rPr>
          <w:rFonts w:hint="eastAsia" w:ascii="仿宋" w:hAnsi="仿宋" w:eastAsia="仿宋" w:cs="仿宋"/>
          <w:bCs/>
          <w:sz w:val="32"/>
          <w:szCs w:val="32"/>
          <w:lang w:val="en-US" w:eastAsia="zh-CN"/>
        </w:rPr>
        <w:t>严格按照县巩固拓展脱贫攻坚成果领导小组要求和《河南省财政厅 河南省审计厅 河南省扶贫开发办公室关于印发&lt;关于加强扶贫资金监管的意见&gt;的通知》（豫财农[2017]65号）、《河南省扶贫资金项目公告公示制度》（豫扶贫办[2017]129号）、《伊川县脱贫攻坚领导小组关于进一步强化财政扶贫项目管理促进资金拨付有关事项的通知》（伊脱贫组[2018]141号）、《伊川县财政衔接乡村振兴补助资金管理办法》（伊财[2021]83号）等规定执行，加强资金监管，确保专款专用。</w:t>
      </w:r>
    </w:p>
    <w:p w14:paraId="75E68611">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Cs/>
          <w:sz w:val="32"/>
          <w:szCs w:val="32"/>
          <w:lang w:val="en-US" w:eastAsia="zh-CN"/>
        </w:rPr>
      </w:pPr>
      <w:r>
        <w:rPr>
          <w:rFonts w:hint="eastAsia" w:ascii="仿宋" w:hAnsi="仿宋" w:eastAsia="仿宋" w:cs="仿宋"/>
          <w:bCs/>
          <w:sz w:val="32"/>
          <w:szCs w:val="32"/>
          <w:lang w:val="en-US" w:eastAsia="zh-CN"/>
        </w:rPr>
        <w:t>三、完善预算绩效管理，进一步加快构建全方位、全过程、全覆盖预算绩效管理体系，各部门、各单位财政支出项目绩效目标随部门预算一并批复，预算单位要认真组织实施，做好项目跟踪运行监控，并在项目执行期间或期满后，根据绩效管理要求做好绩效评价工作，及时执行总结绩效目标管理的经验，研究开发适用于本单位的绩效指标体系，使绩效目标的设定更加科学合理，并将项目的绩效目标信息进行公告公示。</w:t>
      </w:r>
    </w:p>
    <w:p w14:paraId="2FC575B5">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rPr>
      </w:pPr>
    </w:p>
    <w:p w14:paraId="772BC1BC">
      <w:pPr>
        <w:keepNext w:val="0"/>
        <w:keepLines w:val="0"/>
        <w:pageBreakBefore w:val="0"/>
        <w:widowControl w:val="0"/>
        <w:kinsoku/>
        <w:wordWrap/>
        <w:overflowPunct/>
        <w:topLinePunct w:val="0"/>
        <w:autoSpaceDE/>
        <w:autoSpaceDN/>
        <w:bidi w:val="0"/>
        <w:adjustRightInd/>
        <w:snapToGrid/>
        <w:spacing w:line="600" w:lineRule="exact"/>
        <w:ind w:firstLine="308" w:firstLineChars="100"/>
        <w:textAlignment w:val="auto"/>
        <w:rPr>
          <w:rFonts w:hint="eastAsia" w:ascii="仿宋" w:hAnsi="仿宋" w:eastAsia="仿宋" w:cs="仿宋"/>
          <w:b w:val="0"/>
          <w:bCs/>
          <w:spacing w:val="-6"/>
          <w:sz w:val="32"/>
          <w:szCs w:val="32"/>
        </w:rPr>
      </w:pPr>
    </w:p>
    <w:p w14:paraId="19D9C8F0">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b w:val="0"/>
          <w:bCs/>
          <w:spacing w:val="-6"/>
          <w:sz w:val="32"/>
          <w:szCs w:val="32"/>
          <w:lang w:val="en-US" w:eastAsia="zh-CN"/>
        </w:rPr>
      </w:pPr>
      <w:r>
        <w:rPr>
          <w:rFonts w:hint="eastAsia" w:ascii="仿宋" w:hAnsi="仿宋" w:eastAsia="仿宋" w:cs="仿宋"/>
          <w:b w:val="0"/>
          <w:bCs/>
          <w:spacing w:val="-6"/>
          <w:sz w:val="32"/>
          <w:szCs w:val="32"/>
        </w:rPr>
        <w:t>附</w:t>
      </w:r>
      <w:r>
        <w:rPr>
          <w:rFonts w:hint="eastAsia" w:ascii="仿宋" w:hAnsi="仿宋" w:eastAsia="仿宋" w:cs="仿宋"/>
          <w:b w:val="0"/>
          <w:bCs/>
          <w:spacing w:val="-6"/>
          <w:sz w:val="32"/>
          <w:szCs w:val="32"/>
          <w:lang w:eastAsia="zh-CN"/>
        </w:rPr>
        <w:t>件</w:t>
      </w:r>
      <w:r>
        <w:rPr>
          <w:rFonts w:hint="eastAsia" w:ascii="仿宋" w:hAnsi="仿宋" w:eastAsia="仿宋" w:cs="仿宋"/>
          <w:b w:val="0"/>
          <w:bCs/>
          <w:spacing w:val="-6"/>
          <w:sz w:val="32"/>
          <w:szCs w:val="32"/>
        </w:rPr>
        <w:t>1：</w:t>
      </w:r>
      <w:r>
        <w:rPr>
          <w:rFonts w:hint="eastAsia" w:ascii="仿宋" w:hAnsi="仿宋" w:eastAsia="仿宋" w:cs="仿宋"/>
          <w:sz w:val="32"/>
          <w:szCs w:val="32"/>
          <w:lang w:val="en-US" w:eastAsia="zh-CN"/>
        </w:rPr>
        <w:t>伊川县2024年第十二批衔接推进乡村振兴资金分配表</w:t>
      </w:r>
      <w:r>
        <w:rPr>
          <w:rFonts w:hint="eastAsia" w:ascii="仿宋" w:hAnsi="仿宋" w:eastAsia="仿宋" w:cs="仿宋"/>
          <w:b w:val="0"/>
          <w:bCs/>
          <w:spacing w:val="-6"/>
          <w:sz w:val="32"/>
          <w:szCs w:val="32"/>
          <w:lang w:val="en-US" w:eastAsia="zh-CN"/>
        </w:rPr>
        <w:t xml:space="preserve">          </w:t>
      </w:r>
    </w:p>
    <w:p w14:paraId="1296F3BE">
      <w:pPr>
        <w:wordWrap w:val="0"/>
        <w:spacing w:line="580" w:lineRule="exact"/>
        <w:ind w:right="320"/>
        <w:jc w:val="right"/>
        <w:rPr>
          <w:rFonts w:hint="eastAsia" w:ascii="仿宋" w:hAnsi="仿宋" w:eastAsia="仿宋" w:cs="仿宋"/>
          <w:bCs/>
          <w:sz w:val="32"/>
          <w:szCs w:val="32"/>
          <w:lang w:val="en-US" w:eastAsia="zh-CN"/>
        </w:rPr>
      </w:pPr>
      <w:r>
        <w:rPr>
          <w:rFonts w:hint="eastAsia" w:ascii="仿宋" w:hAnsi="仿宋" w:eastAsia="仿宋" w:cs="仿宋"/>
          <w:bCs/>
          <w:sz w:val="32"/>
          <w:szCs w:val="32"/>
          <w:lang w:val="en-US" w:eastAsia="zh-CN"/>
        </w:rPr>
        <w:t xml:space="preserve">  </w:t>
      </w:r>
    </w:p>
    <w:p w14:paraId="1440F763">
      <w:pPr>
        <w:wordWrap w:val="0"/>
        <w:spacing w:line="580" w:lineRule="exact"/>
        <w:ind w:right="320"/>
        <w:jc w:val="right"/>
        <w:rPr>
          <w:rFonts w:hint="eastAsia" w:ascii="仿宋" w:hAnsi="仿宋" w:eastAsia="仿宋" w:cs="仿宋"/>
          <w:bCs/>
          <w:sz w:val="32"/>
          <w:szCs w:val="32"/>
          <w:lang w:val="en-US" w:eastAsia="zh-CN"/>
        </w:rPr>
      </w:pPr>
    </w:p>
    <w:p w14:paraId="67AFFE84">
      <w:pPr>
        <w:wordWrap w:val="0"/>
        <w:spacing w:line="580" w:lineRule="exact"/>
        <w:ind w:right="320"/>
        <w:jc w:val="right"/>
        <w:rPr>
          <w:rFonts w:hint="eastAsia" w:ascii="仿宋_GB2312" w:hAnsi="仿宋_GB2312" w:eastAsia="仿宋_GB2312" w:cs="仿宋_GB2312"/>
          <w:sz w:val="32"/>
          <w:szCs w:val="32"/>
          <w:lang w:val="en-US" w:eastAsia="zh-CN"/>
        </w:rPr>
      </w:pPr>
      <w:r>
        <w:rPr>
          <w:rFonts w:hint="eastAsia" w:ascii="仿宋" w:hAnsi="仿宋" w:eastAsia="仿宋" w:cs="仿宋"/>
          <w:bCs/>
          <w:sz w:val="32"/>
          <w:szCs w:val="32"/>
          <w:lang w:val="en-US" w:eastAsia="zh-CN"/>
        </w:rPr>
        <w:t xml:space="preserve"> </w:t>
      </w:r>
      <w:bookmarkStart w:id="0" w:name="_GoBack"/>
      <w:bookmarkEnd w:id="0"/>
      <w:r>
        <w:rPr>
          <w:rFonts w:hint="eastAsia" w:ascii="仿宋" w:hAnsi="仿宋" w:eastAsia="仿宋" w:cs="仿宋"/>
          <w:sz w:val="32"/>
          <w:szCs w:val="32"/>
        </w:rPr>
        <w:t>202</w:t>
      </w:r>
      <w:r>
        <w:rPr>
          <w:rFonts w:hint="eastAsia" w:ascii="仿宋" w:hAnsi="仿宋" w:eastAsia="仿宋" w:cs="仿宋"/>
          <w:sz w:val="32"/>
          <w:szCs w:val="32"/>
          <w:lang w:val="en-US" w:eastAsia="zh-CN"/>
        </w:rPr>
        <w:t>4</w:t>
      </w:r>
      <w:r>
        <w:rPr>
          <w:rFonts w:hint="eastAsia" w:ascii="仿宋" w:hAnsi="仿宋" w:eastAsia="仿宋" w:cs="仿宋"/>
          <w:sz w:val="32"/>
          <w:szCs w:val="32"/>
        </w:rPr>
        <w:t>年</w:t>
      </w:r>
      <w:r>
        <w:rPr>
          <w:rFonts w:hint="eastAsia" w:ascii="仿宋" w:hAnsi="仿宋" w:eastAsia="仿宋" w:cs="仿宋"/>
          <w:sz w:val="32"/>
          <w:szCs w:val="32"/>
          <w:lang w:val="en-US" w:eastAsia="zh-CN"/>
        </w:rPr>
        <w:t>9</w:t>
      </w:r>
      <w:r>
        <w:rPr>
          <w:rFonts w:hint="eastAsia" w:ascii="仿宋" w:hAnsi="仿宋" w:eastAsia="仿宋" w:cs="仿宋"/>
          <w:sz w:val="32"/>
          <w:szCs w:val="32"/>
        </w:rPr>
        <w:t>月</w:t>
      </w:r>
      <w:r>
        <w:rPr>
          <w:rFonts w:hint="eastAsia" w:ascii="仿宋" w:hAnsi="仿宋" w:eastAsia="仿宋" w:cs="仿宋"/>
          <w:sz w:val="32"/>
          <w:szCs w:val="32"/>
          <w:lang w:val="en-US" w:eastAsia="zh-CN"/>
        </w:rPr>
        <w:t>25</w:t>
      </w:r>
      <w:r>
        <w:rPr>
          <w:rFonts w:hint="eastAsia" w:ascii="仿宋" w:hAnsi="仿宋" w:eastAsia="仿宋" w:cs="仿宋"/>
          <w:sz w:val="32"/>
          <w:szCs w:val="32"/>
        </w:rPr>
        <w:t>日</w:t>
      </w:r>
      <w:r>
        <w:rPr>
          <w:rFonts w:hint="eastAsia" w:ascii="仿宋_GB2312" w:hAnsi="仿宋_GB2312" w:eastAsia="仿宋_GB2312" w:cs="仿宋_GB2312"/>
          <w:sz w:val="32"/>
          <w:szCs w:val="32"/>
          <w:lang w:val="en-US" w:eastAsia="zh-CN"/>
        </w:rPr>
        <w:t xml:space="preserve"> </w:t>
      </w:r>
    </w:p>
    <w:p w14:paraId="04271FD2">
      <w:pPr>
        <w:rPr>
          <w:rFonts w:hint="eastAsia" w:ascii="仿宋_GB2312" w:hAnsi="仿宋_GB2312" w:eastAsia="仿宋_GB2312" w:cs="仿宋_GB2312"/>
          <w:sz w:val="28"/>
          <w:szCs w:val="28"/>
        </w:rPr>
        <w:sectPr>
          <w:footerReference r:id="rId3" w:type="default"/>
          <w:pgSz w:w="11906" w:h="16838"/>
          <w:pgMar w:top="1984" w:right="1587" w:bottom="1701" w:left="1587" w:header="851" w:footer="1417" w:gutter="0"/>
          <w:pgNumType w:fmt="numberInDash"/>
          <w:cols w:space="720" w:num="1"/>
          <w:docGrid w:type="lines" w:linePitch="312" w:charSpace="0"/>
        </w:sectPr>
      </w:pPr>
    </w:p>
    <w:tbl>
      <w:tblPr>
        <w:tblStyle w:val="9"/>
        <w:tblpPr w:leftFromText="180" w:rightFromText="180" w:vertAnchor="text" w:horzAnchor="page" w:tblpX="1540" w:tblpY="12470"/>
        <w:tblOverlap w:val="never"/>
        <w:tblW w:w="8948" w:type="dxa"/>
        <w:tblInd w:w="0" w:type="dxa"/>
        <w:tblBorders>
          <w:top w:val="single" w:color="auto" w:sz="4" w:space="0"/>
          <w:left w:val="none" w:color="auto" w:sz="0" w:space="0"/>
          <w:bottom w:val="single" w:color="auto" w:sz="4" w:space="0"/>
          <w:right w:val="none" w:color="auto" w:sz="0" w:space="0"/>
          <w:insideH w:val="single" w:color="auto" w:sz="4" w:space="0"/>
          <w:insideV w:val="none" w:color="auto" w:sz="0" w:space="0"/>
        </w:tblBorders>
        <w:tblLayout w:type="fixed"/>
        <w:tblCellMar>
          <w:top w:w="0" w:type="dxa"/>
          <w:left w:w="108" w:type="dxa"/>
          <w:bottom w:w="0" w:type="dxa"/>
          <w:right w:w="108" w:type="dxa"/>
        </w:tblCellMar>
      </w:tblPr>
      <w:tblGrid>
        <w:gridCol w:w="8948"/>
      </w:tblGrid>
      <w:tr w14:paraId="6F3E9888">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8948" w:type="dxa"/>
            <w:tcBorders>
              <w:tl2br w:val="nil"/>
              <w:tr2bl w:val="nil"/>
            </w:tcBorders>
            <w:vAlign w:val="top"/>
          </w:tcPr>
          <w:p w14:paraId="60B4C556">
            <w:pPr>
              <w:ind w:firstLine="280" w:firstLineChars="100"/>
              <w:rPr>
                <w:rFonts w:ascii="仿宋_GB2312" w:hAnsi="仿宋_GB2312" w:eastAsia="仿宋_GB2312" w:cs="仿宋_GB2312"/>
                <w:sz w:val="32"/>
                <w:szCs w:val="32"/>
              </w:rPr>
            </w:pPr>
            <w:r>
              <w:rPr>
                <w:rFonts w:hint="eastAsia" w:ascii="仿宋_GB2312" w:hAnsi="仿宋_GB2312" w:eastAsia="仿宋_GB2312" w:cs="仿宋_GB2312"/>
                <w:sz w:val="28"/>
                <w:szCs w:val="28"/>
              </w:rPr>
              <w:t xml:space="preserve">伊川县财政局办公室                </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202</w:t>
            </w:r>
            <w:r>
              <w:rPr>
                <w:rFonts w:hint="eastAsia" w:ascii="仿宋_GB2312" w:hAnsi="仿宋_GB2312" w:eastAsia="仿宋_GB2312" w:cs="仿宋_GB2312"/>
                <w:sz w:val="28"/>
                <w:szCs w:val="28"/>
                <w:lang w:val="en-US" w:eastAsia="zh-CN"/>
              </w:rPr>
              <w:t>4</w:t>
            </w:r>
            <w:r>
              <w:rPr>
                <w:rFonts w:hint="eastAsia" w:ascii="仿宋_GB2312" w:hAnsi="仿宋_GB2312" w:eastAsia="仿宋_GB2312" w:cs="仿宋_GB2312"/>
                <w:sz w:val="28"/>
                <w:szCs w:val="28"/>
              </w:rPr>
              <w:t>年</w:t>
            </w:r>
            <w:r>
              <w:rPr>
                <w:rFonts w:hint="eastAsia" w:ascii="仿宋_GB2312" w:hAnsi="仿宋_GB2312" w:eastAsia="仿宋_GB2312" w:cs="仿宋_GB2312"/>
                <w:sz w:val="28"/>
                <w:szCs w:val="28"/>
                <w:lang w:val="en-US" w:eastAsia="zh-CN"/>
              </w:rPr>
              <w:t>9</w:t>
            </w:r>
            <w:r>
              <w:rPr>
                <w:rFonts w:hint="eastAsia" w:ascii="仿宋_GB2312" w:hAnsi="仿宋_GB2312" w:eastAsia="仿宋_GB2312" w:cs="仿宋_GB2312"/>
                <w:sz w:val="28"/>
                <w:szCs w:val="28"/>
              </w:rPr>
              <w:t>月</w:t>
            </w:r>
            <w:r>
              <w:rPr>
                <w:rFonts w:hint="eastAsia" w:ascii="仿宋_GB2312" w:hAnsi="仿宋_GB2312" w:eastAsia="仿宋_GB2312" w:cs="仿宋_GB2312"/>
                <w:sz w:val="28"/>
                <w:szCs w:val="28"/>
                <w:lang w:val="en-US" w:eastAsia="zh-CN"/>
              </w:rPr>
              <w:t>25</w:t>
            </w:r>
            <w:r>
              <w:rPr>
                <w:rFonts w:hint="eastAsia" w:ascii="仿宋_GB2312" w:hAnsi="仿宋_GB2312" w:eastAsia="仿宋_GB2312" w:cs="仿宋_GB2312"/>
                <w:sz w:val="28"/>
                <w:szCs w:val="28"/>
              </w:rPr>
              <w:t>日印发</w:t>
            </w:r>
          </w:p>
        </w:tc>
      </w:tr>
    </w:tbl>
    <w:p w14:paraId="33852E03">
      <w:pPr>
        <w:spacing w:line="578" w:lineRule="exact"/>
        <w:rPr>
          <w:rFonts w:ascii="仿宋_GB2312" w:hAnsi="仿宋_GB2312" w:eastAsia="仿宋_GB2312" w:cs="仿宋_GB2312"/>
          <w:sz w:val="32"/>
          <w:szCs w:val="32"/>
        </w:rPr>
      </w:pPr>
    </w:p>
    <w:sectPr>
      <w:footerReference r:id="rId4" w:type="default"/>
      <w:pgSz w:w="11906" w:h="16838"/>
      <w:pgMar w:top="1984" w:right="1587" w:bottom="1701" w:left="1587" w:header="851" w:footer="1417"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方正大标宋简体">
    <w:altName w:val="微软雅黑"/>
    <w:panose1 w:val="03000509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B2BCCB">
    <w:pPr>
      <w:pStyle w:val="6"/>
    </w:pPr>
    <w:r>
      <w:rPr>
        <w:rFonts w:ascii="Calibri" w:hAnsi="Calibri" w:eastAsia="宋体" w:cs="Times New Roman"/>
        <w:kern w:val="2"/>
        <w:sz w:val="18"/>
        <w:szCs w:val="18"/>
        <w:lang w:val="en-US" w:eastAsia="zh-CN" w:bidi="ar-SA"/>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445135" cy="230505"/>
              <wp:effectExtent l="0" t="0" r="0" b="0"/>
              <wp:wrapNone/>
              <wp:docPr id="1" name="文本框 3"/>
              <wp:cNvGraphicFramePr/>
              <a:graphic xmlns:a="http://schemas.openxmlformats.org/drawingml/2006/main">
                <a:graphicData uri="http://schemas.microsoft.com/office/word/2010/wordprocessingShape">
                  <wps:wsp>
                    <wps:cNvSpPr/>
                    <wps:spPr>
                      <a:xfrm>
                        <a:off x="0" y="0"/>
                        <a:ext cx="445135" cy="230505"/>
                      </a:xfrm>
                      <a:prstGeom prst="rect">
                        <a:avLst/>
                      </a:prstGeom>
                      <a:noFill/>
                      <a:ln>
                        <a:noFill/>
                      </a:ln>
                    </wps:spPr>
                    <wps:txbx>
                      <w:txbxContent>
                        <w:p w14:paraId="5A148F47">
                          <w:pPr>
                            <w:pStyle w:val="6"/>
                            <w:rPr>
                              <w:rFonts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ascii="仿宋_GB2312" w:hAnsi="仿宋_GB2312" w:eastAsia="仿宋_GB2312" w:cs="仿宋_GB2312"/>
                              <w:sz w:val="28"/>
                              <w:szCs w:val="28"/>
                            </w:rPr>
                            <w:t>- 6 -</w:t>
                          </w:r>
                          <w:r>
                            <w:rPr>
                              <w:rFonts w:hint="eastAsia" w:ascii="仿宋_GB2312" w:hAnsi="仿宋_GB2312" w:eastAsia="仿宋_GB2312" w:cs="仿宋_GB2312"/>
                              <w:sz w:val="28"/>
                              <w:szCs w:val="28"/>
                            </w:rPr>
                            <w:fldChar w:fldCharType="end"/>
                          </w:r>
                        </w:p>
                      </w:txbxContent>
                    </wps:txbx>
                    <wps:bodyPr wrap="none" lIns="0" tIns="0" rIns="0" bIns="0" upright="1">
                      <a:spAutoFit/>
                    </wps:bodyPr>
                  </wps:wsp>
                </a:graphicData>
              </a:graphic>
            </wp:anchor>
          </w:drawing>
        </mc:Choice>
        <mc:Fallback>
          <w:pict>
            <v:rect id="文本框 3" o:spid="_x0000_s1026" o:spt="1" style="position:absolute;left:0pt;margin-top:0pt;height:18.15pt;width:35.05pt;mso-position-horizontal:center;mso-position-horizontal-relative:margin;mso-wrap-style:none;z-index:251659264;mso-width-relative:page;mso-height-relative:page;" filled="f" stroked="f" coordsize="21600,21600" o:gfxdata="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slI2s0gAAAAMBAAAPAAAAAAAAAAEAIAAAACIAAABkcnMvZG93bnJldi54&#10;bWxQSwECFAAUAAAACACHTuJAypOLm8cBAACNAwAADgAAAAAAAAABACAAAAAhAQAAZHJzL2Uyb0Rv&#10;Yy54bWxQSwUGAAAAAAYABgBZAQAAWgUAAAAA&#10;">
              <v:fill on="f" focussize="0,0"/>
              <v:stroke on="f"/>
              <v:imagedata o:title=""/>
              <o:lock v:ext="edit" aspectratio="f"/>
              <v:textbox inset="0mm,0mm,0mm,0mm" style="mso-fit-shape-to-text:t;">
                <w:txbxContent>
                  <w:p w14:paraId="5A148F47">
                    <w:pPr>
                      <w:pStyle w:val="6"/>
                      <w:rPr>
                        <w:rFonts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ascii="仿宋_GB2312" w:hAnsi="仿宋_GB2312" w:eastAsia="仿宋_GB2312" w:cs="仿宋_GB2312"/>
                        <w:sz w:val="28"/>
                        <w:szCs w:val="28"/>
                      </w:rPr>
                      <w:t>- 6 -</w:t>
                    </w:r>
                    <w:r>
                      <w:rPr>
                        <w:rFonts w:hint="eastAsia" w:ascii="仿宋_GB2312" w:hAnsi="仿宋_GB2312" w:eastAsia="仿宋_GB2312" w:cs="仿宋_GB2312"/>
                        <w:sz w:val="28"/>
                        <w:szCs w:val="28"/>
                      </w:rPr>
                      <w:fldChar w:fldCharType="end"/>
                    </w:r>
                  </w:p>
                </w:txbxContent>
              </v:textbox>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ED1E76">
    <w:pPr>
      <w:pStyle w:val="6"/>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2"/>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EwYmJkYjBmMjM3MGEwMGEwNjA3NjFjYmVjN2RkYmEifQ=="/>
  </w:docVars>
  <w:rsids>
    <w:rsidRoot w:val="00245F70"/>
    <w:rsid w:val="0002013D"/>
    <w:rsid w:val="0004099A"/>
    <w:rsid w:val="000426FE"/>
    <w:rsid w:val="0004311A"/>
    <w:rsid w:val="0005357B"/>
    <w:rsid w:val="000550FF"/>
    <w:rsid w:val="000635AA"/>
    <w:rsid w:val="00063C96"/>
    <w:rsid w:val="00067B5E"/>
    <w:rsid w:val="00082A63"/>
    <w:rsid w:val="000937B9"/>
    <w:rsid w:val="000A38C9"/>
    <w:rsid w:val="000D1416"/>
    <w:rsid w:val="000D1A15"/>
    <w:rsid w:val="000E65C3"/>
    <w:rsid w:val="000F1EB3"/>
    <w:rsid w:val="000F797B"/>
    <w:rsid w:val="001008F5"/>
    <w:rsid w:val="00103955"/>
    <w:rsid w:val="001073C4"/>
    <w:rsid w:val="001116AF"/>
    <w:rsid w:val="00112E93"/>
    <w:rsid w:val="00125A4D"/>
    <w:rsid w:val="001336E2"/>
    <w:rsid w:val="00146C9E"/>
    <w:rsid w:val="00152727"/>
    <w:rsid w:val="00167F00"/>
    <w:rsid w:val="00170C35"/>
    <w:rsid w:val="00174F67"/>
    <w:rsid w:val="001A165C"/>
    <w:rsid w:val="001B1622"/>
    <w:rsid w:val="001B5A35"/>
    <w:rsid w:val="001C2A17"/>
    <w:rsid w:val="001E17B0"/>
    <w:rsid w:val="001E2BDC"/>
    <w:rsid w:val="001F22C6"/>
    <w:rsid w:val="002012F9"/>
    <w:rsid w:val="00202703"/>
    <w:rsid w:val="002174AF"/>
    <w:rsid w:val="00234D6A"/>
    <w:rsid w:val="00235E5F"/>
    <w:rsid w:val="00237062"/>
    <w:rsid w:val="00240C62"/>
    <w:rsid w:val="00242D40"/>
    <w:rsid w:val="00245F70"/>
    <w:rsid w:val="002556D9"/>
    <w:rsid w:val="002569AD"/>
    <w:rsid w:val="002609E2"/>
    <w:rsid w:val="0026284C"/>
    <w:rsid w:val="002777A9"/>
    <w:rsid w:val="00283064"/>
    <w:rsid w:val="00285DE2"/>
    <w:rsid w:val="0029027D"/>
    <w:rsid w:val="002961C0"/>
    <w:rsid w:val="00296741"/>
    <w:rsid w:val="002A2607"/>
    <w:rsid w:val="002A2737"/>
    <w:rsid w:val="002A6CA2"/>
    <w:rsid w:val="002C03D3"/>
    <w:rsid w:val="002D167E"/>
    <w:rsid w:val="002E3C27"/>
    <w:rsid w:val="002E4DB2"/>
    <w:rsid w:val="002F08DB"/>
    <w:rsid w:val="00303976"/>
    <w:rsid w:val="00325F3A"/>
    <w:rsid w:val="0033721A"/>
    <w:rsid w:val="00346980"/>
    <w:rsid w:val="00353015"/>
    <w:rsid w:val="00374826"/>
    <w:rsid w:val="003B312B"/>
    <w:rsid w:val="003D6FD7"/>
    <w:rsid w:val="003D72EA"/>
    <w:rsid w:val="003E276E"/>
    <w:rsid w:val="003E4442"/>
    <w:rsid w:val="003F49D8"/>
    <w:rsid w:val="003F7D93"/>
    <w:rsid w:val="0040343E"/>
    <w:rsid w:val="00404712"/>
    <w:rsid w:val="00405944"/>
    <w:rsid w:val="00420C90"/>
    <w:rsid w:val="004212F0"/>
    <w:rsid w:val="004252E1"/>
    <w:rsid w:val="00431347"/>
    <w:rsid w:val="00432ADF"/>
    <w:rsid w:val="004336F5"/>
    <w:rsid w:val="00443C5D"/>
    <w:rsid w:val="00461278"/>
    <w:rsid w:val="004623D6"/>
    <w:rsid w:val="00470CAA"/>
    <w:rsid w:val="004750A7"/>
    <w:rsid w:val="004802BB"/>
    <w:rsid w:val="00492813"/>
    <w:rsid w:val="004944D8"/>
    <w:rsid w:val="004948FA"/>
    <w:rsid w:val="004A2CA8"/>
    <w:rsid w:val="004C0F3D"/>
    <w:rsid w:val="004D5400"/>
    <w:rsid w:val="004F7212"/>
    <w:rsid w:val="00521E1B"/>
    <w:rsid w:val="00544F23"/>
    <w:rsid w:val="00550828"/>
    <w:rsid w:val="0055286E"/>
    <w:rsid w:val="00571B3F"/>
    <w:rsid w:val="0057450C"/>
    <w:rsid w:val="0057774F"/>
    <w:rsid w:val="00596523"/>
    <w:rsid w:val="005B00C0"/>
    <w:rsid w:val="005C6F77"/>
    <w:rsid w:val="005D01BA"/>
    <w:rsid w:val="005D6ED1"/>
    <w:rsid w:val="005E2BAC"/>
    <w:rsid w:val="005F4AE2"/>
    <w:rsid w:val="005F7266"/>
    <w:rsid w:val="00602276"/>
    <w:rsid w:val="00640F98"/>
    <w:rsid w:val="00656AF8"/>
    <w:rsid w:val="0066797E"/>
    <w:rsid w:val="00682A15"/>
    <w:rsid w:val="0069631E"/>
    <w:rsid w:val="006966AF"/>
    <w:rsid w:val="006C56B9"/>
    <w:rsid w:val="006F4DE1"/>
    <w:rsid w:val="006F70A9"/>
    <w:rsid w:val="007013E0"/>
    <w:rsid w:val="00732558"/>
    <w:rsid w:val="00733A3E"/>
    <w:rsid w:val="00750440"/>
    <w:rsid w:val="00757E38"/>
    <w:rsid w:val="007709CB"/>
    <w:rsid w:val="00785CD9"/>
    <w:rsid w:val="00786F87"/>
    <w:rsid w:val="007916F6"/>
    <w:rsid w:val="00795A2B"/>
    <w:rsid w:val="007A0196"/>
    <w:rsid w:val="007A789A"/>
    <w:rsid w:val="007C2AB7"/>
    <w:rsid w:val="007D07ED"/>
    <w:rsid w:val="007D6241"/>
    <w:rsid w:val="007E7D9F"/>
    <w:rsid w:val="007F4F7B"/>
    <w:rsid w:val="00805249"/>
    <w:rsid w:val="00831EA6"/>
    <w:rsid w:val="00833C05"/>
    <w:rsid w:val="00834B3F"/>
    <w:rsid w:val="00835712"/>
    <w:rsid w:val="00863450"/>
    <w:rsid w:val="00863E16"/>
    <w:rsid w:val="00865079"/>
    <w:rsid w:val="00865BE9"/>
    <w:rsid w:val="00893619"/>
    <w:rsid w:val="008A34BD"/>
    <w:rsid w:val="008B1E5E"/>
    <w:rsid w:val="008B44C4"/>
    <w:rsid w:val="008F45F5"/>
    <w:rsid w:val="008F5371"/>
    <w:rsid w:val="00910290"/>
    <w:rsid w:val="00931AED"/>
    <w:rsid w:val="009407A2"/>
    <w:rsid w:val="00971429"/>
    <w:rsid w:val="009869D6"/>
    <w:rsid w:val="009909A7"/>
    <w:rsid w:val="00995814"/>
    <w:rsid w:val="009C737B"/>
    <w:rsid w:val="009D6C85"/>
    <w:rsid w:val="009E794C"/>
    <w:rsid w:val="009F2BFD"/>
    <w:rsid w:val="009F2C60"/>
    <w:rsid w:val="00A0269A"/>
    <w:rsid w:val="00A05370"/>
    <w:rsid w:val="00A15998"/>
    <w:rsid w:val="00A1667E"/>
    <w:rsid w:val="00A21171"/>
    <w:rsid w:val="00A223E4"/>
    <w:rsid w:val="00A3082E"/>
    <w:rsid w:val="00A5699A"/>
    <w:rsid w:val="00A66805"/>
    <w:rsid w:val="00A72BA5"/>
    <w:rsid w:val="00A764A7"/>
    <w:rsid w:val="00A82FFC"/>
    <w:rsid w:val="00AA0076"/>
    <w:rsid w:val="00AB087D"/>
    <w:rsid w:val="00AB473C"/>
    <w:rsid w:val="00AC3A5A"/>
    <w:rsid w:val="00AC4F66"/>
    <w:rsid w:val="00AD0281"/>
    <w:rsid w:val="00AD5F78"/>
    <w:rsid w:val="00AE6331"/>
    <w:rsid w:val="00AF148D"/>
    <w:rsid w:val="00AF2BFB"/>
    <w:rsid w:val="00AF6FD7"/>
    <w:rsid w:val="00B02020"/>
    <w:rsid w:val="00B138E6"/>
    <w:rsid w:val="00B767D3"/>
    <w:rsid w:val="00B80473"/>
    <w:rsid w:val="00B80825"/>
    <w:rsid w:val="00B97FCA"/>
    <w:rsid w:val="00BA3A98"/>
    <w:rsid w:val="00BB0908"/>
    <w:rsid w:val="00BC36BB"/>
    <w:rsid w:val="00BC61E7"/>
    <w:rsid w:val="00BD3C90"/>
    <w:rsid w:val="00BD4F62"/>
    <w:rsid w:val="00BF1156"/>
    <w:rsid w:val="00BF6FAB"/>
    <w:rsid w:val="00C0211E"/>
    <w:rsid w:val="00C12F11"/>
    <w:rsid w:val="00C17B35"/>
    <w:rsid w:val="00C35A19"/>
    <w:rsid w:val="00C43B74"/>
    <w:rsid w:val="00C472BB"/>
    <w:rsid w:val="00C70AFD"/>
    <w:rsid w:val="00C831B5"/>
    <w:rsid w:val="00C90B51"/>
    <w:rsid w:val="00C934D6"/>
    <w:rsid w:val="00CA6B90"/>
    <w:rsid w:val="00CC23E7"/>
    <w:rsid w:val="00CC2EB9"/>
    <w:rsid w:val="00CD64B5"/>
    <w:rsid w:val="00CD64C2"/>
    <w:rsid w:val="00CE7879"/>
    <w:rsid w:val="00D02C7D"/>
    <w:rsid w:val="00D06586"/>
    <w:rsid w:val="00D10C78"/>
    <w:rsid w:val="00D577D8"/>
    <w:rsid w:val="00D72898"/>
    <w:rsid w:val="00D933D0"/>
    <w:rsid w:val="00D96D8A"/>
    <w:rsid w:val="00DA7068"/>
    <w:rsid w:val="00DC01C1"/>
    <w:rsid w:val="00DE0C18"/>
    <w:rsid w:val="00DE58EB"/>
    <w:rsid w:val="00DE7A0E"/>
    <w:rsid w:val="00DF56A8"/>
    <w:rsid w:val="00E07B1C"/>
    <w:rsid w:val="00E1353C"/>
    <w:rsid w:val="00E20316"/>
    <w:rsid w:val="00E25584"/>
    <w:rsid w:val="00E3095E"/>
    <w:rsid w:val="00E5582D"/>
    <w:rsid w:val="00EA7DB1"/>
    <w:rsid w:val="00EB535C"/>
    <w:rsid w:val="00EC310F"/>
    <w:rsid w:val="00EC3B3B"/>
    <w:rsid w:val="00EC54FA"/>
    <w:rsid w:val="00ED142E"/>
    <w:rsid w:val="00EE2741"/>
    <w:rsid w:val="00EE4C57"/>
    <w:rsid w:val="00EF6ECD"/>
    <w:rsid w:val="00F03996"/>
    <w:rsid w:val="00F06171"/>
    <w:rsid w:val="00F06B2D"/>
    <w:rsid w:val="00F126CE"/>
    <w:rsid w:val="00F17535"/>
    <w:rsid w:val="00F24805"/>
    <w:rsid w:val="00F338E6"/>
    <w:rsid w:val="00F34531"/>
    <w:rsid w:val="00F477F0"/>
    <w:rsid w:val="00F51B6C"/>
    <w:rsid w:val="00F5534C"/>
    <w:rsid w:val="00F66A41"/>
    <w:rsid w:val="00F67736"/>
    <w:rsid w:val="00F72E4B"/>
    <w:rsid w:val="00F8334A"/>
    <w:rsid w:val="00F833A4"/>
    <w:rsid w:val="00F93373"/>
    <w:rsid w:val="00FA1029"/>
    <w:rsid w:val="00FA7720"/>
    <w:rsid w:val="00FA7DF4"/>
    <w:rsid w:val="00FB1547"/>
    <w:rsid w:val="00FB42CA"/>
    <w:rsid w:val="00FC05DE"/>
    <w:rsid w:val="00FC3BA0"/>
    <w:rsid w:val="01822573"/>
    <w:rsid w:val="018F4C90"/>
    <w:rsid w:val="01CC7C92"/>
    <w:rsid w:val="01F41264"/>
    <w:rsid w:val="021F07B1"/>
    <w:rsid w:val="02754D72"/>
    <w:rsid w:val="02F82ED5"/>
    <w:rsid w:val="030A41F8"/>
    <w:rsid w:val="037C583F"/>
    <w:rsid w:val="03AC1B29"/>
    <w:rsid w:val="03B6348F"/>
    <w:rsid w:val="03BB23AC"/>
    <w:rsid w:val="04693C4E"/>
    <w:rsid w:val="047848CB"/>
    <w:rsid w:val="048309CA"/>
    <w:rsid w:val="04904FA7"/>
    <w:rsid w:val="04AE18D1"/>
    <w:rsid w:val="05514C0D"/>
    <w:rsid w:val="0569577F"/>
    <w:rsid w:val="05B42E9A"/>
    <w:rsid w:val="05DD1F2C"/>
    <w:rsid w:val="066761DB"/>
    <w:rsid w:val="06FE6B3F"/>
    <w:rsid w:val="07825C44"/>
    <w:rsid w:val="07911761"/>
    <w:rsid w:val="07927288"/>
    <w:rsid w:val="07BC2556"/>
    <w:rsid w:val="07F94CD8"/>
    <w:rsid w:val="080518B2"/>
    <w:rsid w:val="08176D67"/>
    <w:rsid w:val="089B6424"/>
    <w:rsid w:val="08C23B9D"/>
    <w:rsid w:val="08E016B9"/>
    <w:rsid w:val="099B3D15"/>
    <w:rsid w:val="0A7902E7"/>
    <w:rsid w:val="0A886720"/>
    <w:rsid w:val="0A9355ED"/>
    <w:rsid w:val="0A9633BE"/>
    <w:rsid w:val="0AE15192"/>
    <w:rsid w:val="0AFF4C34"/>
    <w:rsid w:val="0B1F04F1"/>
    <w:rsid w:val="0B4618E4"/>
    <w:rsid w:val="0C281F69"/>
    <w:rsid w:val="0C830617"/>
    <w:rsid w:val="0CBA589A"/>
    <w:rsid w:val="0D0A1937"/>
    <w:rsid w:val="0D2349E0"/>
    <w:rsid w:val="0D780CCE"/>
    <w:rsid w:val="0D884570"/>
    <w:rsid w:val="0DD203DE"/>
    <w:rsid w:val="0DEB1355"/>
    <w:rsid w:val="0DFA5B87"/>
    <w:rsid w:val="0DFB4B3D"/>
    <w:rsid w:val="0E465C1E"/>
    <w:rsid w:val="0EDD3AC4"/>
    <w:rsid w:val="0F317386"/>
    <w:rsid w:val="0F7871F8"/>
    <w:rsid w:val="0FC64F44"/>
    <w:rsid w:val="10022AD1"/>
    <w:rsid w:val="10E072B6"/>
    <w:rsid w:val="11896889"/>
    <w:rsid w:val="11FF4738"/>
    <w:rsid w:val="12561017"/>
    <w:rsid w:val="125D53AE"/>
    <w:rsid w:val="129760A8"/>
    <w:rsid w:val="1298748F"/>
    <w:rsid w:val="1299379E"/>
    <w:rsid w:val="129C23D2"/>
    <w:rsid w:val="13163094"/>
    <w:rsid w:val="137B303F"/>
    <w:rsid w:val="137D65B3"/>
    <w:rsid w:val="142D0D9F"/>
    <w:rsid w:val="144C2FDE"/>
    <w:rsid w:val="145232C8"/>
    <w:rsid w:val="148937C0"/>
    <w:rsid w:val="14D7227A"/>
    <w:rsid w:val="14E37374"/>
    <w:rsid w:val="14F50DA4"/>
    <w:rsid w:val="14F70077"/>
    <w:rsid w:val="15121A08"/>
    <w:rsid w:val="156A1844"/>
    <w:rsid w:val="15A41C61"/>
    <w:rsid w:val="15A765F4"/>
    <w:rsid w:val="15C12D1A"/>
    <w:rsid w:val="15F15AC1"/>
    <w:rsid w:val="16264B28"/>
    <w:rsid w:val="16442095"/>
    <w:rsid w:val="166B776B"/>
    <w:rsid w:val="16A30644"/>
    <w:rsid w:val="16A43751"/>
    <w:rsid w:val="16B666AC"/>
    <w:rsid w:val="16ED44DA"/>
    <w:rsid w:val="172D2EFF"/>
    <w:rsid w:val="17E11EA2"/>
    <w:rsid w:val="187D2767"/>
    <w:rsid w:val="18B403CE"/>
    <w:rsid w:val="18E04596"/>
    <w:rsid w:val="19692900"/>
    <w:rsid w:val="1A986F4F"/>
    <w:rsid w:val="1AAD645B"/>
    <w:rsid w:val="1B627B13"/>
    <w:rsid w:val="1B7064D4"/>
    <w:rsid w:val="1C1A6D3B"/>
    <w:rsid w:val="1D141803"/>
    <w:rsid w:val="1D70551D"/>
    <w:rsid w:val="1D8820D5"/>
    <w:rsid w:val="1DCA77B8"/>
    <w:rsid w:val="1DE33F41"/>
    <w:rsid w:val="1E9A7C0A"/>
    <w:rsid w:val="1ECC38EA"/>
    <w:rsid w:val="1F0A1899"/>
    <w:rsid w:val="1F2F403C"/>
    <w:rsid w:val="1F882FF2"/>
    <w:rsid w:val="1FAB4F33"/>
    <w:rsid w:val="1FC3402A"/>
    <w:rsid w:val="204F313A"/>
    <w:rsid w:val="205F59D0"/>
    <w:rsid w:val="21024E0E"/>
    <w:rsid w:val="21845A3B"/>
    <w:rsid w:val="21C565C2"/>
    <w:rsid w:val="21DE339D"/>
    <w:rsid w:val="21DE69A0"/>
    <w:rsid w:val="21E64E17"/>
    <w:rsid w:val="21E94751"/>
    <w:rsid w:val="224F429B"/>
    <w:rsid w:val="22764D91"/>
    <w:rsid w:val="229121BE"/>
    <w:rsid w:val="22CB61C5"/>
    <w:rsid w:val="23067BC1"/>
    <w:rsid w:val="239105D5"/>
    <w:rsid w:val="23D30843"/>
    <w:rsid w:val="24763D61"/>
    <w:rsid w:val="24E414CB"/>
    <w:rsid w:val="24ED38F7"/>
    <w:rsid w:val="255E166E"/>
    <w:rsid w:val="25E42F4C"/>
    <w:rsid w:val="27692073"/>
    <w:rsid w:val="27740131"/>
    <w:rsid w:val="27772FD6"/>
    <w:rsid w:val="27F136FF"/>
    <w:rsid w:val="287C32F8"/>
    <w:rsid w:val="288D4C36"/>
    <w:rsid w:val="28A57EEE"/>
    <w:rsid w:val="28BE7A85"/>
    <w:rsid w:val="29512E02"/>
    <w:rsid w:val="29F35969"/>
    <w:rsid w:val="29FD638B"/>
    <w:rsid w:val="2A507C8D"/>
    <w:rsid w:val="2B04264B"/>
    <w:rsid w:val="2B685EB9"/>
    <w:rsid w:val="2B6C1A1A"/>
    <w:rsid w:val="2BCB379A"/>
    <w:rsid w:val="2BD338DE"/>
    <w:rsid w:val="2BEB1FDF"/>
    <w:rsid w:val="2BED37C5"/>
    <w:rsid w:val="2C030CFD"/>
    <w:rsid w:val="2C423B95"/>
    <w:rsid w:val="2C83526D"/>
    <w:rsid w:val="2D013A79"/>
    <w:rsid w:val="2D014BAF"/>
    <w:rsid w:val="2DA72612"/>
    <w:rsid w:val="2DB63A39"/>
    <w:rsid w:val="2DF87595"/>
    <w:rsid w:val="2DFC520C"/>
    <w:rsid w:val="2E163979"/>
    <w:rsid w:val="2E24646E"/>
    <w:rsid w:val="2E9D013C"/>
    <w:rsid w:val="2F524B24"/>
    <w:rsid w:val="2FF124EE"/>
    <w:rsid w:val="2FF81ACE"/>
    <w:rsid w:val="3014442E"/>
    <w:rsid w:val="303B7C0D"/>
    <w:rsid w:val="3068486C"/>
    <w:rsid w:val="30F5600E"/>
    <w:rsid w:val="312B7C81"/>
    <w:rsid w:val="318F119B"/>
    <w:rsid w:val="320A7897"/>
    <w:rsid w:val="323A3FB6"/>
    <w:rsid w:val="32425283"/>
    <w:rsid w:val="32BA306B"/>
    <w:rsid w:val="32D87995"/>
    <w:rsid w:val="32E26A66"/>
    <w:rsid w:val="3324010F"/>
    <w:rsid w:val="3353526D"/>
    <w:rsid w:val="33D1381C"/>
    <w:rsid w:val="341D71AA"/>
    <w:rsid w:val="34313C5A"/>
    <w:rsid w:val="343F3CA4"/>
    <w:rsid w:val="345B70DA"/>
    <w:rsid w:val="34643F5E"/>
    <w:rsid w:val="34DF5286"/>
    <w:rsid w:val="34E8259D"/>
    <w:rsid w:val="35E30B2B"/>
    <w:rsid w:val="36982A7D"/>
    <w:rsid w:val="36C724BE"/>
    <w:rsid w:val="370B28B9"/>
    <w:rsid w:val="378679C0"/>
    <w:rsid w:val="37BA1D5F"/>
    <w:rsid w:val="380A4A95"/>
    <w:rsid w:val="381C1B99"/>
    <w:rsid w:val="384D4981"/>
    <w:rsid w:val="38940F06"/>
    <w:rsid w:val="38A02D03"/>
    <w:rsid w:val="38F202B5"/>
    <w:rsid w:val="39673821"/>
    <w:rsid w:val="39983C5A"/>
    <w:rsid w:val="3AC4194F"/>
    <w:rsid w:val="3AE77773"/>
    <w:rsid w:val="3AF45588"/>
    <w:rsid w:val="3B337E5E"/>
    <w:rsid w:val="3B9921EB"/>
    <w:rsid w:val="3BCD2D43"/>
    <w:rsid w:val="3C4A67EF"/>
    <w:rsid w:val="3C7F4645"/>
    <w:rsid w:val="3D2D77FD"/>
    <w:rsid w:val="3D2E2FD3"/>
    <w:rsid w:val="3D7A7FC6"/>
    <w:rsid w:val="3E427C9C"/>
    <w:rsid w:val="3E8C7CDA"/>
    <w:rsid w:val="3EA33A1A"/>
    <w:rsid w:val="3EA61729"/>
    <w:rsid w:val="3EAE3606"/>
    <w:rsid w:val="3EE50AEA"/>
    <w:rsid w:val="3FC71C76"/>
    <w:rsid w:val="40663F04"/>
    <w:rsid w:val="407F62A0"/>
    <w:rsid w:val="40890521"/>
    <w:rsid w:val="40AC09D6"/>
    <w:rsid w:val="40CD415E"/>
    <w:rsid w:val="410305B7"/>
    <w:rsid w:val="41173D1A"/>
    <w:rsid w:val="412E0CE8"/>
    <w:rsid w:val="417C1E33"/>
    <w:rsid w:val="41903CF6"/>
    <w:rsid w:val="419B1996"/>
    <w:rsid w:val="41EA4FEF"/>
    <w:rsid w:val="422C5607"/>
    <w:rsid w:val="428C3121"/>
    <w:rsid w:val="42964E69"/>
    <w:rsid w:val="42A41642"/>
    <w:rsid w:val="433810BE"/>
    <w:rsid w:val="43466EDC"/>
    <w:rsid w:val="43482915"/>
    <w:rsid w:val="435412BA"/>
    <w:rsid w:val="43B27D8E"/>
    <w:rsid w:val="43E166D0"/>
    <w:rsid w:val="440920A4"/>
    <w:rsid w:val="444035EC"/>
    <w:rsid w:val="44677980"/>
    <w:rsid w:val="447339C1"/>
    <w:rsid w:val="45235A92"/>
    <w:rsid w:val="45284B01"/>
    <w:rsid w:val="452901C3"/>
    <w:rsid w:val="454C762D"/>
    <w:rsid w:val="45674829"/>
    <w:rsid w:val="459E1E59"/>
    <w:rsid w:val="45D773FA"/>
    <w:rsid w:val="471B6B07"/>
    <w:rsid w:val="47523D62"/>
    <w:rsid w:val="475923DC"/>
    <w:rsid w:val="47975C19"/>
    <w:rsid w:val="48BC05C2"/>
    <w:rsid w:val="490E5A67"/>
    <w:rsid w:val="49575660"/>
    <w:rsid w:val="499A554C"/>
    <w:rsid w:val="49A62143"/>
    <w:rsid w:val="4A3C7922"/>
    <w:rsid w:val="4AA20B5D"/>
    <w:rsid w:val="4ACD636B"/>
    <w:rsid w:val="4ACF369B"/>
    <w:rsid w:val="4B157580"/>
    <w:rsid w:val="4B4A399F"/>
    <w:rsid w:val="4B5767AE"/>
    <w:rsid w:val="4B6D2F19"/>
    <w:rsid w:val="4BF52F0E"/>
    <w:rsid w:val="4C0F7417"/>
    <w:rsid w:val="4C2872FD"/>
    <w:rsid w:val="4C3B3017"/>
    <w:rsid w:val="4CFC10D4"/>
    <w:rsid w:val="4D0D37E8"/>
    <w:rsid w:val="4D0F1DAD"/>
    <w:rsid w:val="4D0F442E"/>
    <w:rsid w:val="4D6420F9"/>
    <w:rsid w:val="4DB17948"/>
    <w:rsid w:val="4DBC3CE3"/>
    <w:rsid w:val="4E410F19"/>
    <w:rsid w:val="4EAD6F8E"/>
    <w:rsid w:val="4F3124AF"/>
    <w:rsid w:val="4F413A95"/>
    <w:rsid w:val="4F555DBD"/>
    <w:rsid w:val="4FB02649"/>
    <w:rsid w:val="4FD24E5F"/>
    <w:rsid w:val="4FD75C47"/>
    <w:rsid w:val="50006C16"/>
    <w:rsid w:val="50387FE7"/>
    <w:rsid w:val="50DD670B"/>
    <w:rsid w:val="516271A9"/>
    <w:rsid w:val="51840FBC"/>
    <w:rsid w:val="51967E34"/>
    <w:rsid w:val="51A96D1F"/>
    <w:rsid w:val="51C23892"/>
    <w:rsid w:val="51CA1FB1"/>
    <w:rsid w:val="52123A5A"/>
    <w:rsid w:val="521A071F"/>
    <w:rsid w:val="521C7446"/>
    <w:rsid w:val="52DB10B0"/>
    <w:rsid w:val="530572E6"/>
    <w:rsid w:val="53206AC2"/>
    <w:rsid w:val="53770FA7"/>
    <w:rsid w:val="538854FD"/>
    <w:rsid w:val="54256AB5"/>
    <w:rsid w:val="54B9105D"/>
    <w:rsid w:val="54C4325A"/>
    <w:rsid w:val="54E00A96"/>
    <w:rsid w:val="551548AB"/>
    <w:rsid w:val="557305CA"/>
    <w:rsid w:val="56081C71"/>
    <w:rsid w:val="56205006"/>
    <w:rsid w:val="564D0A9D"/>
    <w:rsid w:val="565207EC"/>
    <w:rsid w:val="567D5FDA"/>
    <w:rsid w:val="58D2085F"/>
    <w:rsid w:val="59503A1A"/>
    <w:rsid w:val="59AB5A05"/>
    <w:rsid w:val="59BD32BD"/>
    <w:rsid w:val="5A234A6D"/>
    <w:rsid w:val="5AC77957"/>
    <w:rsid w:val="5AFF7905"/>
    <w:rsid w:val="5B0A0784"/>
    <w:rsid w:val="5B7025B1"/>
    <w:rsid w:val="5CD25094"/>
    <w:rsid w:val="5CD31049"/>
    <w:rsid w:val="5D3E5434"/>
    <w:rsid w:val="5D423C91"/>
    <w:rsid w:val="5D9B4FE1"/>
    <w:rsid w:val="5DA6514B"/>
    <w:rsid w:val="5DC13144"/>
    <w:rsid w:val="5DF07810"/>
    <w:rsid w:val="5DFE20F6"/>
    <w:rsid w:val="5EBF0CE7"/>
    <w:rsid w:val="5EF51245"/>
    <w:rsid w:val="5F5E109E"/>
    <w:rsid w:val="5F742670"/>
    <w:rsid w:val="5FF133E8"/>
    <w:rsid w:val="60187D0B"/>
    <w:rsid w:val="602A0F80"/>
    <w:rsid w:val="60593614"/>
    <w:rsid w:val="60864D7F"/>
    <w:rsid w:val="60C6611D"/>
    <w:rsid w:val="60CC64DC"/>
    <w:rsid w:val="60DF5FDA"/>
    <w:rsid w:val="61743760"/>
    <w:rsid w:val="61D373F6"/>
    <w:rsid w:val="61DC53E8"/>
    <w:rsid w:val="62210161"/>
    <w:rsid w:val="627B5AC3"/>
    <w:rsid w:val="62C642C8"/>
    <w:rsid w:val="62D741A0"/>
    <w:rsid w:val="634B1FF6"/>
    <w:rsid w:val="639A711C"/>
    <w:rsid w:val="63B22607"/>
    <w:rsid w:val="647801F1"/>
    <w:rsid w:val="649D3EF6"/>
    <w:rsid w:val="64A733C5"/>
    <w:rsid w:val="64F97173"/>
    <w:rsid w:val="65216040"/>
    <w:rsid w:val="6530669A"/>
    <w:rsid w:val="655B1BDC"/>
    <w:rsid w:val="65B448F1"/>
    <w:rsid w:val="65C15EE3"/>
    <w:rsid w:val="66126EBF"/>
    <w:rsid w:val="6635222E"/>
    <w:rsid w:val="667D4993"/>
    <w:rsid w:val="669E32AF"/>
    <w:rsid w:val="66B423EC"/>
    <w:rsid w:val="66D32D1F"/>
    <w:rsid w:val="66E75E1D"/>
    <w:rsid w:val="674F5770"/>
    <w:rsid w:val="67B457F0"/>
    <w:rsid w:val="67F97B02"/>
    <w:rsid w:val="68040309"/>
    <w:rsid w:val="696372B1"/>
    <w:rsid w:val="696B643C"/>
    <w:rsid w:val="69B63885"/>
    <w:rsid w:val="69C556DC"/>
    <w:rsid w:val="69CF3747"/>
    <w:rsid w:val="6A0675FC"/>
    <w:rsid w:val="6A2922A9"/>
    <w:rsid w:val="6A5B6767"/>
    <w:rsid w:val="6A8E3497"/>
    <w:rsid w:val="6A905171"/>
    <w:rsid w:val="6ABF405B"/>
    <w:rsid w:val="6B1F4868"/>
    <w:rsid w:val="6BAE515B"/>
    <w:rsid w:val="6BC56001"/>
    <w:rsid w:val="6C3D028D"/>
    <w:rsid w:val="6C6A456F"/>
    <w:rsid w:val="6C733992"/>
    <w:rsid w:val="6C7F2654"/>
    <w:rsid w:val="6CBE13CE"/>
    <w:rsid w:val="6CF8086E"/>
    <w:rsid w:val="6D361187"/>
    <w:rsid w:val="6D6667A4"/>
    <w:rsid w:val="6DB70F38"/>
    <w:rsid w:val="6EA066E5"/>
    <w:rsid w:val="6EBD4ED6"/>
    <w:rsid w:val="6EDF492B"/>
    <w:rsid w:val="6FB40867"/>
    <w:rsid w:val="6FE54EC4"/>
    <w:rsid w:val="6FE81534"/>
    <w:rsid w:val="6FF95CCA"/>
    <w:rsid w:val="70375BED"/>
    <w:rsid w:val="704D2A28"/>
    <w:rsid w:val="70F96038"/>
    <w:rsid w:val="710B095A"/>
    <w:rsid w:val="71222EC5"/>
    <w:rsid w:val="715A570D"/>
    <w:rsid w:val="71B82978"/>
    <w:rsid w:val="720854ED"/>
    <w:rsid w:val="729F57FE"/>
    <w:rsid w:val="733E5017"/>
    <w:rsid w:val="73593BFF"/>
    <w:rsid w:val="73A17D44"/>
    <w:rsid w:val="73E927EE"/>
    <w:rsid w:val="73ED1B12"/>
    <w:rsid w:val="74107201"/>
    <w:rsid w:val="74477EFB"/>
    <w:rsid w:val="74566452"/>
    <w:rsid w:val="7462740B"/>
    <w:rsid w:val="746D7236"/>
    <w:rsid w:val="747252C4"/>
    <w:rsid w:val="7483352F"/>
    <w:rsid w:val="74AC5E7A"/>
    <w:rsid w:val="74F8638E"/>
    <w:rsid w:val="7513602F"/>
    <w:rsid w:val="756010C7"/>
    <w:rsid w:val="75621733"/>
    <w:rsid w:val="76061D89"/>
    <w:rsid w:val="761E061B"/>
    <w:rsid w:val="76484031"/>
    <w:rsid w:val="76A2572F"/>
    <w:rsid w:val="76CF4937"/>
    <w:rsid w:val="77043E82"/>
    <w:rsid w:val="77094C32"/>
    <w:rsid w:val="77131755"/>
    <w:rsid w:val="77313E74"/>
    <w:rsid w:val="77883F14"/>
    <w:rsid w:val="779876D8"/>
    <w:rsid w:val="77BB2B47"/>
    <w:rsid w:val="78D76DD5"/>
    <w:rsid w:val="78D87716"/>
    <w:rsid w:val="78FB231B"/>
    <w:rsid w:val="79326EA7"/>
    <w:rsid w:val="798A380F"/>
    <w:rsid w:val="79E61F64"/>
    <w:rsid w:val="7A1C4CFC"/>
    <w:rsid w:val="7A344A7E"/>
    <w:rsid w:val="7A716B70"/>
    <w:rsid w:val="7B2077AB"/>
    <w:rsid w:val="7B907A76"/>
    <w:rsid w:val="7C442F72"/>
    <w:rsid w:val="7C6D60C7"/>
    <w:rsid w:val="7CAE6CB7"/>
    <w:rsid w:val="7D622C5C"/>
    <w:rsid w:val="7D7C0783"/>
    <w:rsid w:val="7D8C4E8F"/>
    <w:rsid w:val="7DD115D7"/>
    <w:rsid w:val="7E1A7890"/>
    <w:rsid w:val="7E6416D0"/>
    <w:rsid w:val="7E75381D"/>
    <w:rsid w:val="7E9C26CC"/>
    <w:rsid w:val="7EC061BB"/>
    <w:rsid w:val="7ED538CF"/>
    <w:rsid w:val="7EF90D73"/>
    <w:rsid w:val="7F0F5AB9"/>
    <w:rsid w:val="7FAC50B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qFormat="1" w:unhideWhenUsed="0"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2"/>
      <w:lang w:val="en-US" w:eastAsia="zh-CN" w:bidi="ar-SA"/>
    </w:rPr>
  </w:style>
  <w:style w:type="character" w:default="1" w:styleId="10">
    <w:name w:val="Default Paragraph Font"/>
    <w:autoRedefine/>
    <w:unhideWhenUsed/>
    <w:qFormat/>
    <w:uiPriority w:val="1"/>
  </w:style>
  <w:style w:type="table" w:default="1" w:styleId="8">
    <w:name w:val="Normal Table"/>
    <w:autoRedefine/>
    <w:unhideWhenUsed/>
    <w:qFormat/>
    <w:uiPriority w:val="99"/>
    <w:tblPr>
      <w:tblCellMar>
        <w:top w:w="0" w:type="dxa"/>
        <w:left w:w="108" w:type="dxa"/>
        <w:bottom w:w="0" w:type="dxa"/>
        <w:right w:w="108" w:type="dxa"/>
      </w:tblCellMar>
    </w:tblPr>
  </w:style>
  <w:style w:type="paragraph" w:styleId="2">
    <w:name w:val="toc 2"/>
    <w:basedOn w:val="1"/>
    <w:next w:val="1"/>
    <w:qFormat/>
    <w:uiPriority w:val="39"/>
    <w:pPr>
      <w:tabs>
        <w:tab w:val="right" w:leader="dot" w:pos="8834"/>
      </w:tabs>
      <w:ind w:left="50" w:leftChars="50"/>
    </w:pPr>
    <w:rPr>
      <w:sz w:val="24"/>
    </w:rPr>
  </w:style>
  <w:style w:type="paragraph" w:styleId="3">
    <w:name w:val="Body Text"/>
    <w:basedOn w:val="1"/>
    <w:next w:val="1"/>
    <w:autoRedefine/>
    <w:qFormat/>
    <w:uiPriority w:val="0"/>
    <w:pPr>
      <w:spacing w:after="120"/>
    </w:pPr>
    <w:rPr>
      <w:rFonts w:ascii="Times New Roman" w:hAnsi="Times New Roman"/>
      <w:szCs w:val="24"/>
    </w:rPr>
  </w:style>
  <w:style w:type="paragraph" w:styleId="4">
    <w:name w:val="Date"/>
    <w:basedOn w:val="1"/>
    <w:next w:val="1"/>
    <w:link w:val="25"/>
    <w:autoRedefine/>
    <w:unhideWhenUsed/>
    <w:qFormat/>
    <w:uiPriority w:val="99"/>
    <w:pPr>
      <w:ind w:left="100" w:leftChars="2500"/>
    </w:pPr>
  </w:style>
  <w:style w:type="paragraph" w:styleId="5">
    <w:name w:val="Balloon Text"/>
    <w:basedOn w:val="1"/>
    <w:link w:val="24"/>
    <w:autoRedefine/>
    <w:unhideWhenUsed/>
    <w:qFormat/>
    <w:uiPriority w:val="99"/>
    <w:rPr>
      <w:sz w:val="18"/>
      <w:szCs w:val="18"/>
    </w:rPr>
  </w:style>
  <w:style w:type="paragraph" w:styleId="6">
    <w:name w:val="footer"/>
    <w:basedOn w:val="1"/>
    <w:link w:val="23"/>
    <w:autoRedefine/>
    <w:unhideWhenUsed/>
    <w:qFormat/>
    <w:uiPriority w:val="99"/>
    <w:pPr>
      <w:tabs>
        <w:tab w:val="center" w:pos="4153"/>
        <w:tab w:val="right" w:pos="8306"/>
      </w:tabs>
      <w:snapToGrid w:val="0"/>
      <w:jc w:val="left"/>
    </w:pPr>
    <w:rPr>
      <w:sz w:val="18"/>
      <w:szCs w:val="18"/>
    </w:rPr>
  </w:style>
  <w:style w:type="paragraph" w:styleId="7">
    <w:name w:val="header"/>
    <w:basedOn w:val="1"/>
    <w:link w:val="22"/>
    <w:autoRedefine/>
    <w:unhideWhenUsed/>
    <w:qFormat/>
    <w:uiPriority w:val="99"/>
    <w:pPr>
      <w:pBdr>
        <w:bottom w:val="single" w:color="auto" w:sz="6" w:space="1"/>
      </w:pBdr>
      <w:tabs>
        <w:tab w:val="center" w:pos="4153"/>
        <w:tab w:val="right" w:pos="8306"/>
      </w:tabs>
      <w:snapToGrid w:val="0"/>
      <w:jc w:val="center"/>
    </w:pPr>
    <w:rPr>
      <w:sz w:val="18"/>
      <w:szCs w:val="18"/>
    </w:rPr>
  </w:style>
  <w:style w:type="table" w:styleId="9">
    <w:name w:val="Table Grid"/>
    <w:basedOn w:val="8"/>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1">
    <w:name w:val="Quote"/>
    <w:basedOn w:val="1"/>
    <w:next w:val="1"/>
    <w:autoRedefine/>
    <w:qFormat/>
    <w:uiPriority w:val="99"/>
    <w:rPr>
      <w:rFonts w:asciiTheme="minorEastAsia" w:hAnsiTheme="minorEastAsia" w:eastAsiaTheme="minorEastAsia"/>
      <w:i/>
      <w:iCs/>
    </w:rPr>
  </w:style>
  <w:style w:type="paragraph" w:customStyle="1" w:styleId="12">
    <w:name w:val="UserStyle_0"/>
    <w:autoRedefine/>
    <w:qFormat/>
    <w:uiPriority w:val="0"/>
    <w:pPr>
      <w:textAlignment w:val="baseline"/>
    </w:pPr>
    <w:rPr>
      <w:rFonts w:ascii="仿宋_GB2312" w:hAnsi="仿宋_GB2312" w:eastAsia="宋体" w:cs="Times New Roman"/>
      <w:color w:val="000000"/>
      <w:sz w:val="24"/>
      <w:szCs w:val="24"/>
      <w:lang w:val="en-US" w:eastAsia="zh-CN" w:bidi="ar-SA"/>
    </w:rPr>
  </w:style>
  <w:style w:type="paragraph" w:customStyle="1" w:styleId="13">
    <w:name w:val="BodyText"/>
    <w:basedOn w:val="1"/>
    <w:autoRedefine/>
    <w:qFormat/>
    <w:uiPriority w:val="0"/>
    <w:pPr>
      <w:spacing w:after="120" w:line="240" w:lineRule="auto"/>
      <w:jc w:val="both"/>
    </w:pPr>
    <w:rPr>
      <w:rFonts w:ascii="Calibri" w:hAnsi="Calibri"/>
      <w:kern w:val="2"/>
      <w:sz w:val="21"/>
      <w:szCs w:val="24"/>
      <w:lang w:val="en-US" w:eastAsia="zh-CN" w:bidi="ar-SA"/>
    </w:rPr>
  </w:style>
  <w:style w:type="paragraph" w:customStyle="1" w:styleId="14">
    <w:name w:val="Default"/>
    <w:autoRedefine/>
    <w:qFormat/>
    <w:uiPriority w:val="0"/>
    <w:pPr>
      <w:widowControl w:val="0"/>
      <w:autoSpaceDE w:val="0"/>
      <w:autoSpaceDN w:val="0"/>
      <w:adjustRightInd w:val="0"/>
    </w:pPr>
    <w:rPr>
      <w:rFonts w:ascii="宋体" w:hAnsi="Times New Roman" w:eastAsia="宋体" w:cs="宋体"/>
      <w:snapToGrid w:val="0"/>
      <w:color w:val="000000"/>
      <w:spacing w:val="16"/>
      <w:kern w:val="2"/>
      <w:sz w:val="24"/>
      <w:szCs w:val="24"/>
      <w:lang w:val="en-US" w:eastAsia="zh-CN" w:bidi="ar-SA"/>
    </w:rPr>
  </w:style>
  <w:style w:type="paragraph" w:customStyle="1" w:styleId="15">
    <w:name w:val="Body Text First Indent"/>
    <w:basedOn w:val="3"/>
    <w:next w:val="16"/>
    <w:autoRedefine/>
    <w:qFormat/>
    <w:uiPriority w:val="0"/>
    <w:pPr>
      <w:widowControl w:val="0"/>
      <w:spacing w:before="0" w:beforeLines="0" w:beforeAutospacing="0" w:after="120" w:afterLines="0" w:afterAutospacing="0"/>
      <w:ind w:left="0" w:right="0" w:firstLine="420" w:firstLineChars="100"/>
      <w:jc w:val="both"/>
    </w:pPr>
    <w:rPr>
      <w:rFonts w:hint="default" w:ascii="Times New Roman" w:hAnsi="Times New Roman" w:eastAsia="宋体" w:cs="Times New Roman"/>
      <w:kern w:val="2"/>
      <w:sz w:val="21"/>
      <w:szCs w:val="24"/>
      <w:lang w:val="en-US" w:eastAsia="zh-CN"/>
    </w:rPr>
  </w:style>
  <w:style w:type="paragraph" w:customStyle="1" w:styleId="16">
    <w:name w:val="Body Text First Indent 2"/>
    <w:basedOn w:val="17"/>
    <w:autoRedefine/>
    <w:qFormat/>
    <w:uiPriority w:val="0"/>
    <w:pPr>
      <w:ind w:firstLine="420" w:firstLineChars="200"/>
    </w:pPr>
  </w:style>
  <w:style w:type="paragraph" w:customStyle="1" w:styleId="17">
    <w:name w:val="Body Text Indent"/>
    <w:basedOn w:val="1"/>
    <w:autoRedefine/>
    <w:qFormat/>
    <w:uiPriority w:val="0"/>
    <w:pPr>
      <w:spacing w:line="560" w:lineRule="exact"/>
      <w:ind w:firstLine="600" w:firstLineChars="200"/>
    </w:pPr>
    <w:rPr>
      <w:rFonts w:ascii="仿宋_GB2312" w:hAnsi="Times New Roman" w:eastAsia="仿宋_GB2312"/>
      <w:sz w:val="30"/>
      <w:szCs w:val="30"/>
    </w:rPr>
  </w:style>
  <w:style w:type="paragraph" w:customStyle="1" w:styleId="18">
    <w:name w:val="reader-word-layer"/>
    <w:basedOn w:val="1"/>
    <w:autoRedefine/>
    <w:qFormat/>
    <w:uiPriority w:val="0"/>
    <w:pPr>
      <w:widowControl/>
      <w:spacing w:before="100" w:beforeAutospacing="1" w:after="100" w:afterAutospacing="1"/>
    </w:pPr>
    <w:rPr>
      <w:rFonts w:ascii="宋体" w:hAnsi="宋体"/>
      <w:kern w:val="0"/>
      <w:sz w:val="24"/>
      <w:szCs w:val="24"/>
    </w:rPr>
  </w:style>
  <w:style w:type="paragraph" w:customStyle="1" w:styleId="19">
    <w:name w:val="列表段落1"/>
    <w:basedOn w:val="1"/>
    <w:autoRedefine/>
    <w:qFormat/>
    <w:uiPriority w:val="99"/>
    <w:pPr>
      <w:ind w:firstLine="420" w:firstLineChars="200"/>
    </w:pPr>
  </w:style>
  <w:style w:type="paragraph" w:customStyle="1" w:styleId="20">
    <w:name w:val="列表段落2"/>
    <w:basedOn w:val="1"/>
    <w:autoRedefine/>
    <w:qFormat/>
    <w:uiPriority w:val="99"/>
    <w:pPr>
      <w:ind w:firstLine="420" w:firstLineChars="200"/>
    </w:pPr>
  </w:style>
  <w:style w:type="paragraph" w:customStyle="1" w:styleId="21">
    <w:name w:val="正文2"/>
    <w:basedOn w:val="1"/>
    <w:next w:val="1"/>
    <w:autoRedefine/>
    <w:qFormat/>
    <w:uiPriority w:val="0"/>
    <w:rPr>
      <w:rFonts w:ascii="仿宋_GB2312" w:eastAsia="仿宋_GB2312"/>
      <w:sz w:val="32"/>
      <w:szCs w:val="20"/>
    </w:rPr>
  </w:style>
  <w:style w:type="character" w:customStyle="1" w:styleId="22">
    <w:name w:val="页眉 字符"/>
    <w:basedOn w:val="10"/>
    <w:link w:val="7"/>
    <w:autoRedefine/>
    <w:qFormat/>
    <w:uiPriority w:val="99"/>
    <w:rPr>
      <w:rFonts w:ascii="Calibri" w:hAnsi="Calibri" w:eastAsia="宋体" w:cs="Times New Roman"/>
      <w:kern w:val="2"/>
      <w:sz w:val="18"/>
      <w:szCs w:val="18"/>
    </w:rPr>
  </w:style>
  <w:style w:type="character" w:customStyle="1" w:styleId="23">
    <w:name w:val="页脚 字符"/>
    <w:basedOn w:val="10"/>
    <w:link w:val="6"/>
    <w:autoRedefine/>
    <w:semiHidden/>
    <w:qFormat/>
    <w:uiPriority w:val="99"/>
    <w:rPr>
      <w:rFonts w:ascii="Calibri" w:hAnsi="Calibri" w:eastAsia="宋体" w:cs="Times New Roman"/>
      <w:kern w:val="2"/>
      <w:sz w:val="18"/>
      <w:szCs w:val="18"/>
    </w:rPr>
  </w:style>
  <w:style w:type="character" w:customStyle="1" w:styleId="24">
    <w:name w:val="批注框文本 字符"/>
    <w:basedOn w:val="10"/>
    <w:link w:val="5"/>
    <w:autoRedefine/>
    <w:semiHidden/>
    <w:qFormat/>
    <w:uiPriority w:val="99"/>
    <w:rPr>
      <w:rFonts w:ascii="Calibri" w:hAnsi="Calibri"/>
      <w:kern w:val="2"/>
      <w:sz w:val="18"/>
      <w:szCs w:val="18"/>
    </w:rPr>
  </w:style>
  <w:style w:type="character" w:customStyle="1" w:styleId="25">
    <w:name w:val="日期 字符"/>
    <w:basedOn w:val="10"/>
    <w:link w:val="4"/>
    <w:autoRedefine/>
    <w:semiHidden/>
    <w:qFormat/>
    <w:uiPriority w:val="99"/>
    <w:rPr>
      <w:rFonts w:ascii="Calibri" w:hAnsi="Calibri"/>
      <w:kern w:val="2"/>
      <w:sz w:val="21"/>
      <w:szCs w:val="22"/>
    </w:rPr>
  </w:style>
  <w:style w:type="character" w:customStyle="1" w:styleId="26">
    <w:name w:val="font21"/>
    <w:basedOn w:val="10"/>
    <w:autoRedefine/>
    <w:qFormat/>
    <w:uiPriority w:val="0"/>
    <w:rPr>
      <w:rFonts w:hint="eastAsia" w:ascii="宋体" w:hAnsi="宋体" w:eastAsia="宋体" w:cs="宋体"/>
      <w:color w:val="000000"/>
      <w:sz w:val="18"/>
      <w:szCs w:val="18"/>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Sky123.Org</Company>
  <Pages>4</Pages>
  <Words>770</Words>
  <Characters>876</Characters>
  <Lines>12</Lines>
  <Paragraphs>3</Paragraphs>
  <TotalTime>2</TotalTime>
  <ScaleCrop>false</ScaleCrop>
  <LinksUpToDate>false</LinksUpToDate>
  <CharactersWithSpaces>914</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2020-04-30T09:22:00Z</dcterms:created>
  <dc:creator>PCOS.CN</dc:creator>
  <cp:lastModifiedBy>h.</cp:lastModifiedBy>
  <cp:lastPrinted>2024-05-20T03:00:00Z</cp:lastPrinted>
  <dcterms:modified xsi:type="dcterms:W3CDTF">2024-09-27T10:30:08Z</dcterms:modified>
  <dc:title>伊财预﹝2022﹞27号</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7D22F03B25CA46399D5F8907C75E15D5_13</vt:lpwstr>
  </property>
</Properties>
</file>